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Indemnity may be required</w:t>
      </w:r>
    </w:p>
    <w:p>
      <w:pPr>
        <w:jc w:val="both"/>
        <w:spacing w:before="100" w:after="100"/>
        <w:ind w:start="360"/>
        <w:ind w:firstLine="360"/>
      </w:pPr>
      <w:r>
        <w:rPr/>
      </w:r>
      <w:r>
        <w:rPr/>
      </w:r>
      <w:r>
        <w:t xml:space="preserve">When there is reasonable doubt as to the ownership of goods or their liability to be taken on execution, the officer may require sufficient indemnity.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§4756. Indemnity may be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Indemnity may be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§4756. INDEMNITY MAY BE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