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Goods not demanded in 30 days are liable to other attachment</w:t>
      </w:r>
    </w:p>
    <w:p>
      <w:pPr>
        <w:jc w:val="both"/>
        <w:spacing w:before="100" w:after="100"/>
        <w:ind w:start="360"/>
        <w:ind w:firstLine="360"/>
      </w:pPr>
      <w:r>
        <w:rPr/>
      </w:r>
      <w:r>
        <w:rPr/>
      </w:r>
      <w:r>
        <w:t xml:space="preserve">When a person is adjudged trustee, if the goods, effects and credits in his hands are not demanded of him by virtue of the execution within 30 days after final judgment, their attachment by the original process is dissolved and they are liable to another attachment as though the prior attachment had not been made; but when the debt due from the trustee to the principal defendant is payable at a future day or specific property is in his hands which he is bound to deliver at a future day, the attachment continues until the expiration of 30 days after such debt is payable in money or the property is demanded of the trustee.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§2956. Goods not demanded in 30 days are liable to other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Goods not demanded in 30 days are liable to other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§2956. GOODS NOT DEMANDED IN 30 DAYS ARE LIABLE TO OTHER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