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Remedy where trustee refuses to deliver</w:t>
      </w:r>
    </w:p>
    <w:p>
      <w:pPr>
        <w:jc w:val="both"/>
        <w:spacing w:before="100" w:after="100"/>
        <w:ind w:start="360"/>
        <w:ind w:firstLine="360"/>
      </w:pPr>
      <w:r>
        <w:rPr/>
      </w:r>
      <w:r>
        <w:rPr/>
      </w:r>
      <w:r>
        <w:t xml:space="preserve">If the trustee neglects or refuses to deliver them, or sufficient to satisfy the execution, the judgment creditor has his remedy on motion as provided in </w:t>
      </w:r>
      <w:r>
        <w:t>sections 2951</w:t>
      </w:r>
      <w:r>
        <w:t xml:space="preserve"> to </w:t>
      </w:r>
      <w:r>
        <w:t>2955</w:t>
      </w:r>
      <w:r>
        <w:t xml:space="preserve"> and </w:t>
      </w:r>
      <w:r>
        <w:t>section 3001</w:t>
      </w:r>
      <w:r>
        <w:t xml:space="preserve">; and the debtor has his remedy for an overplus belonging to him as at common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Remedy where trustee refuses to deliver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Remedy where trustee refuses to deliver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§2802. REMEDY WHERE TRUSTEE REFUSES TO DELIVER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