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§2709. Trustee may submit statement of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Trustee may submit statement of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§2709. TRUSTEE MAY SUBMIT STATEMENT OF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