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Redemption of rights and interest</w:t>
      </w:r>
    </w:p>
    <w:p>
      <w:pPr>
        <w:jc w:val="both"/>
        <w:spacing w:before="100" w:after="100"/>
        <w:ind w:start="360"/>
        <w:ind w:firstLine="360"/>
      </w:pPr>
      <w:r>
        <w:rPr/>
      </w:r>
      <w:r>
        <w:rPr/>
      </w:r>
      <w:r>
        <w:t xml:space="preserve">Real estate, and rights and interests therein, and mortgages and debts so sold, may be redeemed within one year, as land levied on by appraisement may be. The rights and remedies of the parties are the same for this purpose, as those of mortgagor and mortgagee.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§2251. Redemption of rights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Redemption of rights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§2251. REDEMPTION OF RIGHTS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