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§221. DEFECTIVE OR UNREASONABLY DANGEROUS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