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§162. SETTLEMENT OR RELEASE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