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753</w:t>
      </w:r>
    </w:p>
    <w:p>
      <w:pPr>
        <w:jc w:val="center"/>
        <w:ind w:start="360"/>
        <w:spacing w:before="300" w:after="300"/>
      </w:pPr>
      <w:r>
        <w:rPr>
          <w:b/>
        </w:rPr>
        <w:t xml:space="preserve">UNIFORM FOREIGN MONEY-JUDGMENTS RECOGNITION ACT</w:t>
      </w:r>
    </w:p>
    <w:p>
      <w:pPr>
        <w:jc w:val="both"/>
        <w:spacing w:before="100" w:after="100"/>
        <w:ind w:start="1080" w:hanging="720"/>
      </w:pPr>
      <w:r>
        <w:rPr>
          <w:b/>
        </w:rPr>
        <w:t>§</w:t>
        <w:t>8501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8503</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8504</w:t>
        <w:t xml:space="preserve">.  </w:t>
      </w:r>
      <w:r>
        <w:rPr>
          <w:b/>
        </w:rPr>
        <w:t xml:space="preserve">Recognition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8505</w:t>
        <w:t xml:space="preserve">.  </w:t>
      </w:r>
      <w:r>
        <w:rPr>
          <w:b/>
        </w:rPr>
        <w:t xml:space="preserve">Grounds for nonrecognition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8506</w:t>
        <w:t xml:space="preserve">.  </w:t>
      </w:r>
      <w:r>
        <w:rPr>
          <w:b/>
        </w:rPr>
        <w:t xml:space="preserve">Personal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8507</w:t>
        <w:t xml:space="preserve">.  </w:t>
      </w:r>
      <w:r>
        <w:rPr>
          <w:b/>
        </w:rPr>
        <w:t xml:space="preserve">Stay in case of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8508</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jc w:val="both"/>
        <w:spacing w:before="100" w:after="100"/>
        <w:ind w:start="1080" w:hanging="720"/>
      </w:pPr>
      <w:r>
        <w:rPr>
          <w:b/>
        </w:rPr>
        <w:t>§</w:t>
        <w:t>8509</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285, §1 (NEW). PL 2021, c. 689,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753. UNIFORM FOREIGN MONEY-JUDGMENTS RECOGNITION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753. UNIFORM FOREIGN MONEY-JUDGMENTS RECOGNITION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753. UNIFORM FOREIGN MONEY-JUDGMENTS RECOGNITION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