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§939. Prohibitions and requirements applicable to corporations which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Prohibitions and requirements applicable to corporations which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§939. PROHIBITIONS AND REQUIREMENTS APPLICABLE TO CORPORATIONS WHICH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