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Powers; change of name; proceedings;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Powers; change of name; proceedings;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§931. POWERS; CHANGE OF NAME; PROCEEDINGS;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