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General powers</w:t>
      </w:r>
    </w:p>
    <w:p>
      <w:pPr>
        <w:jc w:val="both"/>
        <w:spacing w:before="100" w:after="100"/>
        <w:ind w:start="360"/>
        <w:ind w:firstLine="360"/>
      </w:pPr>
      <w:r>
        <w:rPr/>
      </w:r>
      <w:r>
        <w:rPr/>
      </w:r>
      <w:r>
        <w:t xml:space="preserve">A professional corporation has the powers enumerated in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§733.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§733.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