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Articles of incorporation; first meeting; fees</w:t>
      </w:r>
    </w:p>
    <w:p>
      <w:pPr>
        <w:jc w:val="both"/>
        <w:spacing w:before="100" w:after="100"/>
        <w:ind w:start="360"/>
        <w:ind w:firstLine="360"/>
      </w:pPr>
      <w:r>
        <w:rPr/>
      </w:r>
      <w:r>
        <w:rPr/>
      </w:r>
      <w:r>
        <w:t xml:space="preserve">Articles of incorporation for the formation of an association under this subchapter must be drawn up and filed in the same manner and under the same provisions as for organizing business corporations under </w:t>
      </w:r>
      <w:r>
        <w:t>Title 13‑C</w:t>
      </w:r>
      <w:r>
        <w:t xml:space="preserve">, except where such procedure would be inconsistent with this subchapter. The same provision applies under </w:t>
      </w:r>
      <w:r>
        <w:t>Title 13‑C</w:t>
      </w:r>
      <w:r>
        <w:t xml:space="preserve"> to associations organized under this subchapter in respect to the first meeting of the corporation, and as to fees payable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231,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Articles of incorporation; first meeting;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Articles of incorporation; first meeting;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§1551. ARTICLES OF INCORPORATION; FIRST MEETING;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