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w:t>
        <w:t xml:space="preserve">.  </w:t>
      </w:r>
      <w:r>
        <w:rPr>
          <w:b/>
        </w:rPr>
        <w:t xml:space="preserve">-- custodian</w:t>
      </w:r>
    </w:p>
    <w:p>
      <w:pPr>
        <w:jc w:val="both"/>
        <w:spacing w:before="100" w:after="100"/>
        <w:ind w:start="360"/>
        <w:ind w:firstLine="360"/>
      </w:pPr>
      <w:r>
        <w:rPr/>
      </w:r>
      <w:r>
        <w:rPr/>
      </w:r>
      <w:r>
        <w:t xml:space="preserve">The treasurer of the cemetery in which such community mausoleum is situated shall be the custodian of the permanent care and improvement fund established therefor in </w:t>
      </w:r>
      <w:r>
        <w:t>section 1348</w:t>
      </w:r>
      <w:r>
        <w:t xml:space="preserve"> and every such fund shall be held, administered and invested in the manner provided by law for funds in savings banks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§1349. --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 --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§1349. --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