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Articles of amendment</w:t>
      </w:r>
    </w:p>
    <w:p>
      <w:pPr>
        <w:jc w:val="both"/>
        <w:spacing w:before="100" w:after="100"/>
        <w:ind w:start="360"/>
        <w:ind w:firstLine="360"/>
      </w:pPr>
      <w:r>
        <w:rPr>
          <w:b/>
        </w:rPr>
        <w:t>1</w:t>
        <w:t xml:space="preserve">.  </w:t>
      </w:r>
      <w:r>
        <w:rPr>
          <w:b/>
        </w:rPr>
        <w:t xml:space="preserve">Executed by corporation.</w:t>
        <w:t xml:space="preserve"> </w:t>
      </w:r>
      <w:r>
        <w:t xml:space="preserve"> </w:t>
      </w:r>
      <w:r>
        <w:t xml:space="preserve">The articles of amendment shall be executed by the corporation and shall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amendment so adopted;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The date of adoption of the amendment;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If there are members entitled to vote thereon, (1) a statement setting forth the date of the meeting of members at which the amendment was adopted, that a quorum was present at such meeting, and that such amendment received at least a majority of the votes which members present at such meeting or represented by proxy were entitled to cast, or (2) where the articles require a vote of more than a majority of the votes which members present at such meeting or represented by proxy were entitled to cast, a statement that such amendment received at least the percentage of such votes required by the articles, or (3) a statement that such amendment was adopted by a consent in writing signed by all members entitled to vote with respect thereto;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If there are no members, or no members entitled to vote thereon, a statement of such fact, the date of the meeting of the board of directors at which the amendment was adopted, and a statement of fact that such amendment received the vote of a majority of the directors in office.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Determination by Secretary of State.</w:t>
        <w:t xml:space="preserve"> </w:t>
      </w:r>
      <w:r>
        <w:t xml:space="preserve"> </w:t>
      </w:r>
      <w:r>
        <w:t xml:space="preserve">When the articles of amendment are delivered for filing by the Secretary of State, he shall, before filing them, make the same determination provided in </w:t>
      </w:r>
      <w:r>
        <w:t>section 404</w:t>
      </w:r>
      <w:r>
        <w:t xml:space="preserve"> in the case of original articles, to the extent applicable to a given amendment or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§803. Articles of amendment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Articles of amendment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§803. ARTICLES OF AMENDMENT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