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Application of chapter to corporations previously authorized to carry on activities in State</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Every foreign corporation which, on the effective date of this Act, is authorized to carry on activities in this State shall continue to have such authority for any purpose or purposes for which a corporation might secure authority under this chapter. Such foreign corporation shall have the same rights and privileges, and shall be subject to the same duties, limitations, restrictions, liabilities and penalties as a foreign corporation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Qualified to carry on activities.</w:t>
        <w:t xml:space="preserve"> </w:t>
      </w:r>
      <w:r>
        <w:t xml:space="preserve"> </w:t>
      </w:r>
      <w:r>
        <w:t xml:space="preserve">Every foreign corporation which, on the effective date of this Act, was lawfully carrying on activities in this State, even though not theretofore qualified as a foreign corporation or otherwise expressly authorized to do so, may continue to carry on such activities, and in every other respect such foreign corporation shall be treated as though it were a foreign corporation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§1215. APPLICATION OF CHAPTER TO CORPORATIONS PREVIOUSLY AUTHORIZED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