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9704</w:t>
        <w:t xml:space="preserve">.  </w:t>
      </w:r>
      <w:r>
        <w:rPr>
          <w:b/>
        </w:rPr>
        <w:t xml:space="preserve">Penalties not substitutes for existing liabilities</w:t>
      </w:r>
    </w:p>
    <w:p>
      <w:pPr>
        <w:jc w:val="both"/>
        <w:spacing w:before="100" w:after="100"/>
        <w:ind w:start="360"/>
        <w:ind w:firstLine="360"/>
      </w:pPr>
      <w:r>
        <w:rPr/>
      </w:r>
      <w:r>
        <w:rPr/>
      </w:r>
      <w:r>
        <w:t xml:space="preserve">None of the penalties imposed by this Part shall be considered as substitutes for or as repealing laws making persons guilty of crimes, offenses or acts of trespass or liable for civil damages to persons injured by such acts, except that any person who invokes the remedy of </w:t>
      </w:r>
      <w:r>
        <w:t>section 9324, subsection 2</w:t>
      </w:r>
      <w:r>
        <w:t xml:space="preserve">, is barred from an action at common law for damages so sued for.</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§9704. Penalties not substitutes for existing liabilities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§9704. Penalties not substitutes for existing liabilities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§9704. PENALTIES NOT SUBSTITUTES FOR EXISTING LIABILITIES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