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9206</w:t>
        <w:t xml:space="preserve">.  </w:t>
      </w:r>
      <w:r>
        <w:rPr>
          <w:b/>
        </w:rPr>
        <w:t xml:space="preserve">Reports and payrolls</w:t>
      </w:r>
    </w:p>
    <w:p>
      <w:pPr>
        <w:jc w:val="both"/>
        <w:spacing w:before="100" w:after="100"/>
        <w:ind w:start="360"/>
        <w:ind w:firstLine="360"/>
      </w:pPr>
      <w:r>
        <w:rPr/>
      </w:r>
      <w:r>
        <w:rPr/>
      </w:r>
      <w:r>
        <w:t xml:space="preserve">Town forest fire wardens and state forest rangers shall promptly prepare a report of their investigation of the cause, extent and damage on all forest fires in their charge. They shall prepare an exact and detailed statement of expenses incurred therein immediately after total extinguishment of the forest fire on forms provided by the director.</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Statements of expenses shall have proper payroll receipts and vouchers. Forest fire suppression costs qualifying for town and state payment are labor, transportation, food, fire department equipment from outside the affected town, privately owned equipment and other costs approved by the state forest ranger in charge.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All requests for the state 1/2 reimbursement shall be presented to the director within 60 days after total extinguishment of the forest fire or become void. The director may extend the time provided a preliminary report has been made.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w:pPr>
        <w:jc w:val="both"/>
        <w:spacing w:before="100" w:after="100"/>
        <w:ind w:start="360"/>
        <w:ind w:firstLine="360"/>
      </w:pPr>
      <w:r>
        <w:rPr/>
      </w:r>
      <w:r>
        <w:rPr/>
      </w:r>
      <w:r>
        <w:t xml:space="preserve">The director shall examine all forest fire suppression bills rendered by the town to the State for reimbursement or direct payment. After items not qualifying have been deducted, the director shall approve them for payment.</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§9206. Reports and payrolls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§9206. Reports and payrolls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§9206. REPORTS AND PAYROLLS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