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§8002. Bureau of Forestry;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Bureau of Forestry;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§8002. BUREAU OF FORESTRY;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