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Jurisdiction</w:t>
      </w:r>
    </w:p>
    <w:p>
      <w:pPr>
        <w:jc w:val="both"/>
        <w:spacing w:before="100" w:after="100"/>
        <w:ind w:start="360"/>
        <w:ind w:firstLine="360"/>
      </w:pPr>
      <w:r>
        <w:rPr/>
      </w:r>
      <w:r>
        <w:rPr/>
      </w:r>
      <w:r>
        <w:t xml:space="preserve">The jurisdiction of this State, both civil and criminal, over persons upon any lands acquired under </w:t>
      </w:r>
      <w:r>
        <w:t>section 753</w:t>
      </w:r>
      <w:r>
        <w:t xml:space="preserve"> shall not be affected or changed by the permanent reservation and administration of such lands as national forest lands, except so far as the punishment of offenses against the United States is concerned; the intent and meaning of this section being that this State shall not by reason of such reservation and administration lose its jurisdiction, nor the inhabitants thereof their rights and privileges as citizens, nor be absolved from their duties as citizens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