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6807</w:t>
        <w:t xml:space="preserve">.  </w:t>
      </w:r>
      <w:r>
        <w:rPr>
          <w:b/>
        </w:rPr>
        <w:t xml:space="preserve">Seaweed harvesting rules</w:t>
      </w:r>
    </w:p>
    <w:p>
      <w:pPr>
        <w:jc w:val="both"/>
        <w:spacing w:before="100" w:after="100"/>
        <w:ind w:start="360"/>
      </w:pPr>
      <w:r>
        <w:rPr>
          <w:b/>
        </w:rPr>
        <w:t>(REALLOCATED FROM TITLE 12, SECTION 6805)</w:t>
      </w:r>
    </w:p>
    <w:p>
      <w:pPr>
        <w:jc w:val="both"/>
        <w:spacing w:before="100" w:after="100"/>
        <w:ind w:start="360"/>
        <w:ind w:firstLine="360"/>
      </w:pPr>
      <w:r>
        <w:rPr/>
      </w:r>
      <w:r>
        <w:rPr/>
      </w:r>
      <w:r>
        <w:t xml:space="preserve">The commissioner may adopt rules regulating the harvest of seaweed on a species-specific basis, including, but not limited to, the total number of licenses that may be issued, the designation of a harvesting season or seasons, the quantity of the resource that may be harvested in a season, areas that may be open or closed to harvest, the designation of sectors, limitations on harvest by sector, establishment of a process for allocation to sectors and gear and techniques that may be used in harvesting.  Rules establishing a process for the allocation to sectors under this section are major substantive rules pursuant to </w:t>
      </w:r>
      <w:r>
        <w:t>Title 5, chapter 375, subchapter 2‑A</w:t>
      </w:r>
      <w:r>
        <w:t xml:space="preserve">.   All other rules adopted under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2013, c. 169, §1 (AMD). PL 2013, c. 558,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§6807. Seaweed harvesting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§6807. SEAWEED HARVESTING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