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6749-P</w:t>
        <w:t xml:space="preserve">.  </w:t>
      </w:r>
      <w:r>
        <w:rPr>
          <w:b/>
        </w:rPr>
        <w:t xml:space="preserve">Licenses by zone</w:t>
      </w:r>
    </w:p>
    <w:p>
      <w:pPr>
        <w:jc w:val="both"/>
        <w:spacing w:before="100" w:after="100"/>
        <w:ind w:start="360"/>
        <w:ind w:firstLine="360"/>
      </w:pPr>
      <w:r>
        <w:rPr/>
      </w:r>
      <w:r>
        <w:rPr/>
      </w:r>
      <w:r>
        <w:t xml:space="preserve">A person eligible to purchase a license under </w:t>
      </w:r>
      <w:r>
        <w:t>section 6749‑O</w:t>
      </w:r>
      <w:r>
        <w:t xml:space="preserve"> may purchase those licenses only for Zone 1 or Zone 2.  All of those licenses issued to any one person in any one year must be for the same zone.  A person may not change from the zone in which the person harvested sea urchins in the previous calendar year unless the change is authorized in accordance with </w:t>
      </w:r>
      <w:r>
        <w:t>section 6749‑Z</w:t>
      </w:r>
      <w:r>
        <w:t xml:space="preserve">.  A handfishing sea urchin license, a sea urchin hand-raking and trapping license or a sea urchin dragging license authorizes the licensed activity only in the zone for which it is issued.  A sea urchin dragging license must list the documentation or registration number of the vessel to be used by that licensee when dragging.  A vessel documentation number or registration number may not be listed on more than one sea urchin dragging license.</w:t>
      </w:r>
      <w:r>
        <w:t xml:space="preserve">  </w:t>
      </w:r>
      <w:r xmlns:wp="http://schemas.openxmlformats.org/drawingml/2010/wordprocessingDrawing" xmlns:w15="http://schemas.microsoft.com/office/word/2012/wordml">
        <w:rPr>
          <w:rFonts w:ascii="Arial" w:hAnsi="Arial" w:cs="Arial"/>
          <w:sz w:val="22"/>
          <w:szCs w:val="22"/>
        </w:rPr>
        <w:t xml:space="preserve">[PL 2001, c. 327,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§3 (NEW). PL 1995, c. 392, §8 (AMD). PL 1995, c. 595, §4 (AMD). PL 1997, c. 685, §4 (AMD). PL 2001, c. 327,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§6749-P. Licenses by zone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§6749-P. Licenses by zone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§6749-P. LICENSES BY ZONE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