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6749-B</w:t>
        <w:t xml:space="preserve">.  </w:t>
      </w:r>
      <w:r>
        <w:rPr>
          <w:b/>
        </w:rPr>
        <w:t xml:space="preserve">Sea urchins and lobsters; simultaneous possession or transport prohibited</w:t>
      </w:r>
    </w:p>
    <w:p>
      <w:pPr>
        <w:jc w:val="both"/>
        <w:spacing w:before="100" w:after="100"/>
        <w:ind w:start="360"/>
        <w:ind w:firstLine="360"/>
      </w:pPr>
      <w:r>
        <w:rPr/>
      </w:r>
      <w:r>
        <w:rPr/>
      </w:r>
      <w:r>
        <w:t xml:space="preserve">A person licensed under </w:t>
      </w:r>
      <w:r>
        <w:t>section 6748</w:t>
      </w:r>
      <w:r>
        <w:t xml:space="preserve"> to take sea urchins by hand may not simultaneously possess or transport sea urchins and lobsters aboard a registered vessel.</w:t>
      </w:r>
      <w:r>
        <w:t xml:space="preserve">  </w:t>
      </w:r>
      <w:r xmlns:wp="http://schemas.openxmlformats.org/drawingml/2010/wordprocessingDrawing" xmlns:w15="http://schemas.microsoft.com/office/word/2012/wordml">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§6749-B. Sea urchins and lobsters; simultaneous possession or transport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§6749-B. SEA URCHINS AND LOBSTERS; SIMULTANEOUS POSSESSION OR TRANSPORT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