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w:t>
        <w:t xml:space="preserve">.  </w:t>
      </w:r>
      <w:r>
        <w:rPr>
          <w:b/>
        </w:rPr>
        <w:t xml:space="preserve">Revocation based on conviction of scrubbing lobsters</w:t>
      </w:r>
    </w:p>
    <w:p>
      <w:pPr>
        <w:jc w:val="both"/>
        <w:spacing w:before="100" w:after="100"/>
        <w:ind w:start="360"/>
        <w:ind w:firstLine="360"/>
      </w:pPr>
      <w:r>
        <w:rPr/>
      </w:r>
      <w:r>
        <w:rPr/>
      </w:r>
      <w:r>
        <w:t xml:space="preserve">The commissioner may permanently revoke the lobster and crab fishing license, wholesale seafood license and the commercial fishing license of any license holder or the nonresident lobster and crab landing permit of a permit holder convicted in court of violating </w:t>
      </w:r>
      <w:r>
        <w:t>section 6438‑A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§2 (AMD). PL 2007, c. 201, §3 (AMD). PL 2015, c. 172, §6 (AMD). PL 2017, c. 197,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§6404. Revocation based on conviction of scrubbing lobsters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 Revocation based on conviction of scrubbing lobsters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 REVOCATION BASED ON CONVICTION OF SCRUBBING LOBSTERS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