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§6404-G. Suspension based on 2 or more convictions of scallop fishing in a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§6404-G. Suspension based on 2 or more convictions of scallop fishing in a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§6404-G. SUSPENSION BASED ON 2 OR MORE CONVICTIONS OF SCALLOP FISHING IN A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