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717, §2 (NEW).]</w:t>
      </w:r>
    </w:p>
    <w:p>
      <w:pPr>
        <w:jc w:val="both"/>
        <w:spacing w:before="100" w:after="0"/>
        <w:ind w:start="360"/>
        <w:ind w:firstLine="360"/>
      </w:pPr>
      <w:r>
        <w:rPr>
          <w:b/>
        </w:rPr>
        <w:t>1</w:t>
        <w:t xml:space="preserve">.  </w:t>
      </w:r>
      <w:r>
        <w:rPr>
          <w:b/>
        </w:rPr>
        <w:t xml:space="preserve">Existing dam.</w:t>
        <w:t xml:space="preserve"> </w:t>
      </w:r>
      <w:r>
        <w:t xml:space="preserve"> </w:t>
      </w:r>
      <w:r>
        <w:t xml:space="preserve">"Existing dam" means any human-made barrier across a river segment identified in this chapter that impounds water and has not deteriorated or been breached or modified to the point where it no longer impounds water at 50% or more of its design level at normal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717, §2 (NEW). RR 2021, c. 2,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