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w:t>
        <w:t xml:space="preserve">.  </w:t>
      </w:r>
      <w:r>
        <w:rPr>
          <w:b/>
        </w:rPr>
        <w:t xml:space="preserve">Authority to acquire property by eminent domain or otherwise</w:t>
      </w:r>
    </w:p>
    <w:p>
      <w:pPr>
        <w:jc w:val="both"/>
        <w:spacing w:before="100" w:after="100"/>
        <w:ind w:start="360"/>
        <w:ind w:firstLine="360"/>
      </w:pPr>
      <w:r>
        <w:rPr/>
      </w:r>
      <w:r>
        <w:rPr/>
      </w:r>
      <w:r>
        <w:t xml:space="preserve">The bureau may acquire, on behalf of the State, land, improvements or any interest therein and water and power rights within the boundaries of the waterway or adjacent thereto by purchase, lease or gift and to enter into agreements concerning the same. Any land acquired that is adjacent to the waterway becomes part of the waterway. The bureau is authorized to accept and receive gifts and bequests of money or other property, including funds from the Federal Government, for purposes consistent with the intent of the Legislature in establishing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Within the restricted zone, the bureau may acquire by eminent domain on behalf of the State any land, improvements or any interest therein and water and power rights, specifically excluding Telos Dam Lot and Lock Dam Lot and water and power rights connected therewith; however, the power and authority of the bureau as otherwise provided to accomplish the purposes of this subchapter apply to Telos Dam Lot and Lock Dam Lot.</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§1877. Authority to acquire property by eminent domain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 Authority to acquire property by eminent domain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§1877. AUTHORITY TO ACQUIRE PROPERTY BY EMINENT DOMAIN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