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01. Unlawful hunting of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1. Unlawful hunting of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1. UNLAWFUL HUNTING OF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