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§11210. Shooting domestic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§11210. Shooting domestic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§11210. SHOOTING DOMESTIC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