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03. Administering chemical tests; test results; evidence; repor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Administering chemical tests; test results; evidence; repor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3. ADMINISTERING CHEMICAL TESTS; TEST RESULTS; EVIDENCE; REPOR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