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917</w:t>
      </w:r>
    </w:p>
    <w:p>
      <w:pPr>
        <w:jc w:val="center"/>
        <w:ind w:start="360"/>
        <w:spacing w:before="300" w:after="300"/>
      </w:pPr>
      <w:r>
        <w:rPr>
          <w:b/>
        </w:rPr>
        <w:t xml:space="preserve">TRAPPING</w:t>
      </w:r>
    </w:p>
    <w:p>
      <w:pPr>
        <w:jc w:val="center"/>
        <w:ind w:start="360"/>
        <w:spacing w:before="300" w:after="300"/>
      </w:pPr>
      <w:r>
        <w:rPr>
          <w:b/>
        </w:rPr>
        <w:t>SUBCHAPTER</w:t>
        <w:t xml:space="preserve"> </w:t>
        <w:t>1</w:t>
      </w:r>
    </w:p>
    <w:p>
      <w:pPr>
        <w:jc w:val="center"/>
        <w:ind w:start="360"/>
        <w:spacing w:before="300" w:after="300"/>
      </w:pPr>
      <w:r>
        <w:rPr>
          <w:b/>
        </w:rPr>
        <w:t xml:space="preserve">LICENSE REQUIREMENTS AND FEES</w:t>
      </w:r>
    </w:p>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Aroostook Micmac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164, §15 (AMD); PL 2023, c. 369, Pt. A, §4 (REV); PL 2023, c. 369,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§15 (AMD); PL 2023, c. 369, Pt. A, §4 (REV); PL 2023, c. 369, Pt. A, §5 (AFF).]</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w:t>
      </w:r>
    </w:p>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jc w:val="center"/>
        <w:ind w:start="360"/>
        <w:spacing w:before="300" w:after="300"/>
      </w:pPr>
      <w:r>
        <w:rPr>
          <w:b/>
        </w:rPr>
        <w:t>SUBCHAPTER</w:t>
        <w:t xml:space="preserve"> </w:t>
        <w:t>2</w:t>
      </w:r>
    </w:p>
    <w:p>
      <w:pPr>
        <w:jc w:val="center"/>
        <w:ind w:start="360"/>
        <w:spacing w:before="300" w:after="300"/>
      </w:pPr>
      <w:r>
        <w:rPr>
          <w:b/>
        </w:rPr>
        <w:t xml:space="preserve">TRAPPING SEASON, REQUIREMENTS AND RESTRICTIONS</w:t>
      </w:r>
    </w:p>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Aroostook Micmac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§10 (AMD);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w:t>
      </w:r>
    </w:p>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917.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917.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917.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