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ENDANGERED OR THREATENED MARINE SPECIES</w:t>
      </w:r>
    </w:p>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631. ENDANGERED OR THREATENED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ENDANGERED OR THREATENED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631. ENDANGERED OR THREATENED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