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9-1628</w:t>
        <w:t xml:space="preserve">.  </w:t>
      </w:r>
      <w:r>
        <w:rPr>
          <w:b/>
        </w:rPr>
        <w:t xml:space="preserve">Nonliability and limitation on liability of secured party; liability of secondary obligor</w:t>
      </w:r>
    </w:p>
    <w:p>
      <w:pPr>
        <w:jc w:val="both"/>
        <w:spacing w:before="100" w:after="100"/>
        <w:ind w:start="360"/>
        <w:ind w:firstLine="360"/>
      </w:pPr>
      <w:r>
        <w:rPr>
          <w:b/>
        </w:rPr>
        <w:t>(1)</w:t>
        <w:t xml:space="preserve">.  </w:t>
      </w:r>
      <w:r>
        <w:rPr>
          <w:b/>
        </w:rPr>
      </w:r>
      <w:r>
        <w:t xml:space="preserve"> </w:t>
      </w:r>
      <w:r>
        <w:t xml:space="preserve">Unless a secured party knows that a person is a debtor or obligor, knows the identity of the person and knows how to communicate with the person:</w:t>
      </w:r>
    </w:p>
    <w:p>
      <w:pPr>
        <w:jc w:val="both"/>
        <w:spacing w:before="100" w:after="0"/>
        <w:ind w:start="720"/>
      </w:pPr>
      <w:r>
        <w:rPr/>
        <w:t>(a)</w:t>
        <w:t xml:space="preserve">.  </w:t>
      </w:r>
      <w:r>
        <w:rPr/>
      </w:r>
      <w:r>
        <w:t xml:space="preserve">The secured party is not liable to the person or to a secured party or lienholder that has filed a financing statement against the person for failure to comply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failure to comply with this Article does not affect the liability of the person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is not liable because of its status as secured party:</w:t>
      </w:r>
    </w:p>
    <w:p>
      <w:pPr>
        <w:jc w:val="both"/>
        <w:spacing w:before="100" w:after="0"/>
        <w:ind w:start="720"/>
      </w:pPr>
      <w:r>
        <w:rPr/>
        <w:t>(a)</w:t>
        <w:t xml:space="preserve">.  </w:t>
      </w:r>
      <w:r>
        <w:rPr/>
      </w:r>
      <w:r>
        <w:t xml:space="preserve">To a person that is a debtor or obligor, unless the secured party knows:</w:t>
      </w:r>
    </w:p>
    <w:p>
      <w:pPr>
        <w:jc w:val="both"/>
        <w:spacing w:before="100" w:after="0"/>
        <w:ind w:start="1080"/>
      </w:pPr>
      <w:r>
        <w:rPr/>
        <w:t>(</w:t>
        <w:t>i</w:t>
        <w:t xml:space="preserve">)  </w:t>
      </w:r>
      <w:r>
        <w:rPr/>
      </w:r>
      <w:r>
        <w:t xml:space="preserve">That the person is a debtor or obligor;</w:t>
      </w:r>
    </w:p>
    <w:p>
      <w:pPr>
        <w:jc w:val="both"/>
        <w:spacing w:before="100" w:after="0"/>
        <w:ind w:start="1080"/>
      </w:pPr>
      <w:r>
        <w:rPr/>
        <w:t>(</w:t>
        <w:t>ii</w:t>
        <w:t xml:space="preserve">)  </w:t>
      </w:r>
      <w:r>
        <w:rPr/>
      </w:r>
      <w:r>
        <w:t xml:space="preserve">The identity of the person; and</w:t>
      </w:r>
    </w:p>
    <w:p>
      <w:pPr>
        <w:jc w:val="both"/>
        <w:spacing w:before="100" w:after="0"/>
        <w:ind w:start="1080"/>
      </w:pPr>
      <w:r>
        <w:rPr/>
        <w:t>(</w:t>
        <w:t>iii</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a secured party or lienholder that has filed a financing statement against a person, unless the secured party knows:</w:t>
      </w:r>
    </w:p>
    <w:p>
      <w:pPr>
        <w:jc w:val="both"/>
        <w:spacing w:before="100" w:after="0"/>
        <w:ind w:start="1080"/>
      </w:pPr>
      <w:r>
        <w:rPr/>
        <w:t>(</w:t>
        <w:t>i</w:t>
        <w:t xml:space="preserve">)  </w:t>
      </w:r>
      <w:r>
        <w:rPr/>
      </w:r>
      <w:r>
        <w:t xml:space="preserve">That the person is a debtor; and</w:t>
      </w:r>
    </w:p>
    <w:p>
      <w:pPr>
        <w:jc w:val="both"/>
        <w:spacing w:before="100" w:after="0"/>
        <w:ind w:start="1080"/>
      </w:pPr>
      <w:r>
        <w:rPr/>
        <w:t>(</w:t>
        <w:t>ii</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secured party is not liable to any person, and a person's liability for a deficiency is not affected because of any act or omission arising out of the secured party's reasonable belief that a transaction is not a consumer-goods transaction or a consumer transaction or that goods are not consumer goods, if the secured party's belief is based on its reasonable reliance on:</w:t>
      </w:r>
    </w:p>
    <w:p>
      <w:pPr>
        <w:jc w:val="both"/>
        <w:spacing w:before="100" w:after="0"/>
        <w:ind w:start="720"/>
      </w:pPr>
      <w:r>
        <w:rPr/>
        <w:t>(a)</w:t>
        <w:t xml:space="preserve">.  </w:t>
      </w:r>
      <w:r>
        <w:rPr/>
      </w:r>
      <w:r>
        <w:t xml:space="preserve">A debtor's representation concerning the purpose for which collateral was to be used, acquired or held;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obligor's representation concerning the purpose for which a secured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is not liable to any person under </w:t>
      </w:r>
      <w:r>
        <w:t>section 9‑1625, subsection (3), paragraph (b)</w:t>
      </w:r>
      <w:r>
        <w:t xml:space="preserve"> for its failure to comply with </w:t>
      </w:r>
      <w:r>
        <w:t>section 9‑1616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secured party is not liable under </w:t>
      </w:r>
      <w:r>
        <w:t>section 9‑1625, subsection (3), paragraph (b)</w:t>
      </w:r>
      <w:r>
        <w:t xml:space="preserve"> more than once with respect to any one secured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§9-1628. Nonliability and limitation on liability of secured party; liability of secondary obligor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§9-1628. Nonliability and limitation on liability of secured party; liability of secondary obligor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§9-1628. NONLIABILITY AND LIMITATION ON LIABILITY OF SECURED PARTY; LIABILITY OF SECONDARY OBLIGOR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