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9-1333</w:t>
        <w:t xml:space="preserve">.  </w:t>
      </w:r>
      <w:r>
        <w:rPr>
          <w:b/>
        </w:rPr>
        <w:t xml:space="preserve">Priority of certain liens arising by operation of law</w:t>
      </w:r>
    </w:p>
    <w:p>
      <w:pPr>
        <w:jc w:val="both"/>
        <w:spacing w:before="100" w:after="100"/>
        <w:ind w:start="360"/>
        <w:ind w:firstLine="360"/>
      </w:pPr>
      <w:r>
        <w:rPr>
          <w:b/>
        </w:rPr>
        <w:t>(1)</w:t>
        <w:t xml:space="preserve">.  </w:t>
      </w:r>
      <w:r>
        <w:rPr>
          <w:b/>
        </w:rPr>
      </w:r>
      <w:r>
        <w:t xml:space="preserve"> </w:t>
      </w:r>
      <w:r>
        <w:t xml:space="preserve">In this section, "possessory lien" means an interest, other than a security interest or an agricultural lien:</w:t>
      </w:r>
    </w:p>
    <w:p>
      <w:pPr>
        <w:jc w:val="both"/>
        <w:spacing w:before="100" w:after="0"/>
        <w:ind w:start="720"/>
      </w:pPr>
      <w:r>
        <w:rPr/>
        <w:t>(a)</w:t>
        <w:t xml:space="preserve">.  </w:t>
      </w:r>
      <w:r>
        <w:rPr/>
      </w:r>
      <w:r>
        <w:t xml:space="preserve">That secures payment or performance of an obligation for services or materials furnished with respect to goods by a person in the ordinary course of the person's business;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That is created by statute or rule of law in favor of the person;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Whose effectiveness depends on the person's possession of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possessory lien on goods has priority over a security interest in the goods unless the lien is created by a statute that expressly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§9-1333.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§9-1333.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§9-1333.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