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9-1330</w:t>
        <w:t xml:space="preserve">.  </w:t>
      </w:r>
      <w:r>
        <w:rPr>
          <w:b/>
        </w:rPr>
        <w:t xml:space="preserve">Priority of purchaser of chattel paper or instrument</w:t>
      </w:r>
    </w:p>
    <w:p>
      <w:pPr>
        <w:jc w:val="both"/>
        <w:spacing w:before="100" w:after="100"/>
        <w:ind w:start="360"/>
        <w:ind w:firstLine="360"/>
      </w:pPr>
      <w:r>
        <w:rPr>
          <w:b/>
        </w:rPr>
        <w:t>(1)</w:t>
        <w:t xml:space="preserve">.  </w:t>
      </w:r>
      <w:r>
        <w:rPr>
          <w:b/>
        </w:rPr>
      </w:r>
      <w:r>
        <w:t xml:space="preserve"> </w:t>
      </w:r>
      <w:r>
        <w:t xml:space="preserve">A purchaser of chattel paper has priority over a security interest in the chattel paper that is claimed merely as proceeds of inventory subject to a security interest if:</w:t>
      </w:r>
    </w:p>
    <w:p>
      <w:pPr>
        <w:jc w:val="both"/>
        <w:spacing w:before="100" w:after="0"/>
        <w:ind w:start="720"/>
      </w:pPr>
      <w:r>
        <w:rPr/>
        <w:t>(a)</w:t>
        <w:t xml:space="preserve">.  </w:t>
      </w:r>
      <w:r>
        <w:rPr/>
      </w:r>
      <w:r>
        <w:t xml:space="preserve">In good faith and in the ordinary course of the purchaser's business, the purchaser gives new value and takes possession of the chattel paper or obtains control of the chattel paper under </w:t>
      </w:r>
      <w:r>
        <w:t>section 9‑1105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chattel paper does not indicate that it has been assigned to an identified assignee other than the purchaser.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purchaser of chattel paper has priority over a security interest in the chattel paper that is claimed other than merely as proceeds of inventory subject to a security interest if the purchaser gives new value and takes possession of the chattel paper or obtains control of the chattel paper under </w:t>
      </w:r>
      <w:r>
        <w:t>section 9‑1105</w:t>
      </w:r>
      <w:r>
        <w:t xml:space="preserve"> in good faith, in the ordinary course of the purchaser's business and without knowledge that the purchase violates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Except as otherwise provided in </w:t>
      </w:r>
      <w:r>
        <w:t>section 9‑1327</w:t>
      </w:r>
      <w:r>
        <w:t xml:space="preserve">, a purchaser having priority in chattel paper under </w:t>
      </w:r>
      <w:r>
        <w:t>subsection (1)</w:t>
      </w:r>
      <w:r>
        <w:t xml:space="preserve"> or </w:t>
      </w:r>
      <w:r>
        <w:t>(2)</w:t>
      </w:r>
      <w:r>
        <w:t xml:space="preserve"> also has priority in proceeds of the chattel paper to the extent that:</w:t>
      </w:r>
    </w:p>
    <w:p>
      <w:pPr>
        <w:jc w:val="both"/>
        <w:spacing w:before="100" w:after="0"/>
        <w:ind w:start="720"/>
      </w:pPr>
      <w:r>
        <w:rPr/>
        <w:t>(a)</w:t>
        <w:t xml:space="preserve">.  </w:t>
      </w:r>
      <w:r>
        <w:rPr/>
      </w:r>
      <w:r>
        <w:t>Section 9‑1322</w:t>
      </w:r>
      <w:r>
        <w:t xml:space="preserve"> provides for priority in the proceeds;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proceeds consist of the specific goods covered by the chattel paper or cash proceeds of the specific goods, even if the purchaser's security interest in the proceeds is unperfected.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Except as otherwise provided in </w:t>
      </w:r>
      <w:r>
        <w:t>section 9‑1331, subsection (1)</w:t>
      </w:r>
      <w:r>
        <w:t xml:space="preserve">, a purchaser of an instrument has priority over a security interest in the instrument perfected by a method other than possession if the purchaser gives value and takes possession of the instrument in good faith and without knowledge that the purchase violates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For purposes of </w:t>
      </w:r>
      <w:r>
        <w:t>subsections (1)</w:t>
      </w:r>
      <w:r>
        <w:t xml:space="preserve"> and </w:t>
      </w:r>
      <w:r>
        <w:t>(2)</w:t>
      </w:r>
      <w:r>
        <w:t xml:space="preserve">, the holder of a purchase-money security interest in inventory gives new value for chattel paper constituting proceeds of the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For purposes of </w:t>
      </w:r>
      <w:r>
        <w:t>subsections (2)</w:t>
      </w:r>
      <w:r>
        <w:t xml:space="preserve"> and </w:t>
      </w:r>
      <w:r>
        <w:t>(4)</w:t>
      </w:r>
      <w:r>
        <w:t xml:space="preserve">, if chattel paper or an instrument indicates that it has been assigned to an identified secured party other than the purchaser, a purchaser of the chattel paper or instrument has knowledge that the purchase violates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§9-1330. Priority of purchaser of chattel paper or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§9-1330. Priority of purchaser of chattel paper or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§9-1330. PRIORITY OF PURCHASER OF CHATTEL PAPER OR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