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9-1317</w:t>
        <w:t xml:space="preserve">.  </w:t>
      </w:r>
      <w:r>
        <w:rPr>
          <w:b/>
        </w:rPr>
        <w:t xml:space="preserve">Interests that take priority over or take free of security interest or agricultural lien</w:t>
      </w:r>
    </w:p>
    <w:p>
      <w:pPr>
        <w:jc w:val="both"/>
        <w:spacing w:before="100" w:after="100"/>
        <w:ind w:start="360"/>
        <w:ind w:firstLine="360"/>
      </w:pPr>
      <w:r>
        <w:rPr>
          <w:b/>
        </w:rPr>
        <w:t>(1)</w:t>
        <w:t xml:space="preserve">.  </w:t>
      </w:r>
      <w:r>
        <w:rPr>
          <w:b/>
        </w:rPr>
      </w:r>
      <w:r>
        <w:t xml:space="preserve"> </w:t>
      </w:r>
      <w:r>
        <w:t xml:space="preserve">A security interest or agricultural lien is subordinate to the rights of:</w:t>
      </w:r>
    </w:p>
    <w:p>
      <w:pPr>
        <w:jc w:val="both"/>
        <w:spacing w:before="100" w:after="0"/>
        <w:ind w:start="720"/>
      </w:pPr>
      <w:r>
        <w:rPr/>
        <w:t>(a)</w:t>
        <w:t xml:space="preserve">.  </w:t>
      </w:r>
      <w:r>
        <w:rPr/>
      </w:r>
      <w:r>
        <w:t xml:space="preserve">A person entitled to priority under </w:t>
      </w:r>
      <w:r>
        <w:t>section 9‑1322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Except as otherwise provided in </w:t>
      </w:r>
      <w:r>
        <w:t>subsection (5)</w:t>
      </w:r>
      <w:r>
        <w:t xml:space="preserve">, a person that becomes a lien creditor before the earlier of the time:</w:t>
      </w:r>
    </w:p>
    <w:p>
      <w:pPr>
        <w:jc w:val="both"/>
        <w:spacing w:before="100" w:after="0"/>
        <w:ind w:start="1080"/>
      </w:pPr>
      <w:r>
        <w:rPr/>
        <w:t>(</w:t>
        <w:t>i</w:t>
        <w:t xml:space="preserve">)  </w:t>
      </w:r>
      <w:r>
        <w:rPr/>
      </w:r>
      <w:r>
        <w:t xml:space="preserve">The security interest or agricultural lien is perfected; or</w:t>
      </w:r>
    </w:p>
    <w:p>
      <w:pPr>
        <w:jc w:val="both"/>
        <w:spacing w:before="100" w:after="0"/>
        <w:ind w:start="1080"/>
      </w:pPr>
      <w:r>
        <w:rPr/>
        <w:t>(</w:t>
        <w:t>ii</w:t>
        <w:t xml:space="preserve">)  </w:t>
      </w:r>
      <w:r>
        <w:rPr/>
      </w:r>
      <w:r>
        <w:t xml:space="preserve">One of the conditions specified in </w:t>
      </w:r>
      <w:r>
        <w:t>section 9‑1203, subsection (2), paragraph (c)</w:t>
      </w:r>
      <w:r>
        <w:t xml:space="preserve"> is met and a financing statement covering the collateral is filed.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 (5)</w:t>
      </w:r>
      <w:r>
        <w:t xml:space="preserve">, a buyer, other than a secured party, of tangible chattel paper, tangible documents, goods, instruments or a certificated security takes free of a security interest or agricultural lien if the buyer gives value and receives delivery of the collateral without knowledge of the security interest or agricultural lien and before it is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§15 (AMD).]</w:t>
      </w:r>
    </w:p>
    <w:p>
      <w:pPr>
        <w:jc w:val="both"/>
        <w:spacing w:before="100" w:after="0"/>
        <w:ind w:start="360"/>
        <w:ind w:firstLine="360"/>
      </w:pPr>
      <w:r>
        <w:rPr>
          <w:b/>
        </w:rPr>
        <w:t>(3)</w:t>
        <w:t xml:space="preserve">.  </w:t>
      </w:r>
      <w:r>
        <w:rPr>
          <w:b/>
        </w:rPr>
      </w:r>
      <w:r>
        <w:t xml:space="preserve"> </w:t>
      </w:r>
      <w:r>
        <w:t xml:space="preserve">Except as otherwise provided in </w:t>
      </w:r>
      <w:r>
        <w:t>subsection (5)</w:t>
      </w:r>
      <w:r>
        <w:t xml:space="preserve">, a lessee of goods takes free of a security interest or agricultural lien if the lessee gives value and receives delivery of the collateral without knowledge of the security interest or agricultural lien and before it is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licensee of a general intangible or a buyer, other than a secured party, of collateral other than tangible chattel paper, tangible documents, goods, instruments or a certificated security takes free of a security interest if the licensee or buyer gives value without knowledge of the security interest and before it is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§16 (AMD).]</w:t>
      </w:r>
    </w:p>
    <w:p>
      <w:pPr>
        <w:jc w:val="both"/>
        <w:spacing w:before="100" w:after="0"/>
        <w:ind w:start="360"/>
        <w:ind w:firstLine="360"/>
      </w:pPr>
      <w:r>
        <w:rPr>
          <w:b/>
        </w:rPr>
        <w:t>(5)</w:t>
        <w:t xml:space="preserve">.  </w:t>
      </w:r>
      <w:r>
        <w:rPr>
          <w:b/>
        </w:rPr>
      </w:r>
      <w:r>
        <w:t xml:space="preserve"> </w:t>
      </w:r>
      <w:r>
        <w:t xml:space="preserve">Except as otherwise provided in </w:t>
      </w:r>
      <w:r>
        <w:t>sections 9‑1320</w:t>
      </w:r>
      <w:r>
        <w:t xml:space="preserve"> and </w:t>
      </w:r>
      <w:r>
        <w:t>9‑1321</w:t>
      </w:r>
      <w:r>
        <w:t xml:space="preserve">, if a person files a financing statement with respect to a purchase-money security interest before or within 20 days after the debtor receives delivery of the collateral, the security interest takes priority over the rights of a buyer, lessee or lien creditor that arise between the time the security interest attaches and the time of filing, unless the collateral is covered by </w:t>
      </w:r>
      <w:r>
        <w:t>Title 29‑A, chapter 7</w:t>
      </w:r>
      <w:r>
        <w:t xml:space="preserve">, in which case the security interest takes priority if perfected in accordance with </w:t>
      </w:r>
      <w:r>
        <w:t>section 9‑1303</w:t>
      </w:r>
      <w:r>
        <w:t xml:space="preserve"> within 30 days after the debtor receives delivery of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A, §1 (AMD); PL 2003, c. 652, Pt. A,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2003, c. 652, §A1 (AMD). PL 2003, c. 652, §A7 (AFF). PL 2009, c. 324, Pt. B, §§41, 42 (AMD). PL 2009, c. 324, Pt. B, §48 (AFF). PL 2013, c. 317, Pt. A, §§15,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§9-1317. Interests that take priority over or take free of security interest or agricultural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§9-1317. Interests that take priority over or take free of security interest or agricultural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§9-1317. INTERESTS THAT TAKE PRIORITY OVER OR TAKE FREE OF SECURITY INTEREST OR AGRICULTURAL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