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w:t>
        <w:t xml:space="preserve">.  </w:t>
      </w:r>
      <w:r>
        <w:rPr>
          <w:b/>
        </w:rPr>
        <w:t xml:space="preserve">Perfection by control</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 PERFECTION BY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