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8-1106</w:t>
        <w:t xml:space="preserve">.  </w:t>
      </w:r>
      <w:r>
        <w:rPr>
          <w:b/>
        </w:rPr>
        <w:t xml:space="preserve">Control</w:t>
      </w:r>
    </w:p>
    <w:p>
      <w:pPr>
        <w:jc w:val="both"/>
        <w:spacing w:before="100" w:after="0"/>
        <w:ind w:start="360"/>
        <w:ind w:firstLine="360"/>
      </w:pPr>
      <w:r>
        <w:rPr>
          <w:b/>
        </w:rPr>
        <w:t>(1)</w:t>
        <w:t xml:space="preserve">.  </w:t>
      </w:r>
      <w:r>
        <w:rPr>
          <w:b/>
        </w:rPr>
      </w:r>
      <w:r>
        <w:t xml:space="preserve"> </w:t>
      </w:r>
      <w:r>
        <w:t xml:space="preserve">A purchaser has control of a certificated security in bearer form if the certificated security is delivered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purchaser has control of a certificated security in registered form if the certificated security is delivered to the purchaser, and:</w:t>
      </w:r>
    </w:p>
    <w:p>
      <w:pPr>
        <w:jc w:val="both"/>
        <w:spacing w:before="100" w:after="0"/>
        <w:ind w:start="720"/>
      </w:pPr>
      <w:r>
        <w:rPr/>
        <w:t>(a)</w:t>
        <w:t xml:space="preserve">.  </w:t>
      </w:r>
      <w:r>
        <w:rPr/>
      </w:r>
      <w:r>
        <w:t xml:space="preserve">The certificate is indorsed to the purchaser or in blank by an effective indorsement;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certificate is registered in the name of the purchaser upon original issue or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purchaser has control of an uncertificated security if:</w:t>
      </w:r>
    </w:p>
    <w:p>
      <w:pPr>
        <w:jc w:val="both"/>
        <w:spacing w:before="100" w:after="0"/>
        <w:ind w:start="720"/>
      </w:pPr>
      <w:r>
        <w:rPr/>
        <w:t>(a)</w:t>
        <w:t xml:space="preserve">.  </w:t>
      </w:r>
      <w:r>
        <w:rPr/>
      </w:r>
      <w:r>
        <w:t xml:space="preserve">The uncertificated security is delivered to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issuer has agreed that it will comply with instructions originated by the purchaser without further consent by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has control of a security entitlement if:</w:t>
      </w:r>
    </w:p>
    <w:p>
      <w:pPr>
        <w:jc w:val="both"/>
        <w:spacing w:before="100" w:after="0"/>
        <w:ind w:start="720"/>
      </w:pPr>
      <w:r>
        <w:rPr/>
        <w:t>(a)</w:t>
        <w:t xml:space="preserve">.  </w:t>
      </w:r>
      <w:r>
        <w:rPr/>
      </w:r>
      <w:r>
        <w:t xml:space="preserve">The purchaser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(b)</w:t>
        <w:t xml:space="preserve">.  </w:t>
      </w:r>
      <w:r>
        <w:rPr/>
      </w:r>
      <w:r>
        <w:t xml:space="preserve">The securities intermediary has agreed that it will comply with entitlement orders originated by the purchaser without further consent by the entitlement holder; or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(c)</w:t>
        <w:t xml:space="preserve">.  </w:t>
      </w:r>
      <w:r>
        <w:rPr/>
      </w:r>
      <w:r>
        <w:t xml:space="preserve">Another person has control of the security entitlement on behalf of the purchaser or, having previously acquired control of the security entitlement, acknowledges that it has control on behalf of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B, §21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(5)</w:t>
        <w:t xml:space="preserve">.  </w:t>
      </w:r>
      <w:r>
        <w:rPr>
          <w:b/>
        </w:rPr>
      </w:r>
      <w:r>
        <w:t xml:space="preserve"> </w:t>
      </w:r>
      <w:r>
        <w:t xml:space="preserve">If an interest in a security entitlement is granted by the entitlement holder to the entitlement holder's own securities intermediary, the securities intermediary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purchaser who has satisfied the requirements of </w:t>
      </w:r>
      <w:r>
        <w:t>subsection (3)</w:t>
      </w:r>
      <w:r>
        <w:t xml:space="preserve"> or </w:t>
      </w:r>
      <w:r>
        <w:t>subsection (4)</w:t>
      </w:r>
      <w:r>
        <w:t xml:space="preserve"> has control, even if the registered owner in the case of </w:t>
      </w:r>
      <w:r>
        <w:t>subsection (3)</w:t>
      </w:r>
      <w:r>
        <w:t xml:space="preserve"> or the entitlement holder in the case of </w:t>
      </w:r>
      <w:r>
        <w:t>subsection (4)</w:t>
      </w:r>
      <w:r>
        <w:t xml:space="preserve"> retains the right to make substitutions for the uncertificated security or security entitlement, to originate instructions or entitlement orders to the issuer or securities intermediary or otherwise to deal with the uncertificated security or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(7)</w:t>
        <w:t xml:space="preserve">.  </w:t>
      </w:r>
      <w:r>
        <w:rPr>
          <w:b/>
        </w:rPr>
      </w:r>
      <w:r>
        <w:t xml:space="preserve"> </w:t>
      </w:r>
      <w:r>
        <w:t xml:space="preserve">An issuer or a securities intermediary may not enter into an agreement of the kind described in </w:t>
      </w:r>
      <w:r>
        <w:t>subsection (3), paragraph (b)</w:t>
      </w:r>
      <w:r>
        <w:t xml:space="preserve"> or </w:t>
      </w:r>
      <w:r>
        <w:t>subsection (4), paragraph (b)</w:t>
      </w:r>
      <w:r>
        <w:t xml:space="preserve">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§B21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§8-1106.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§8-1106.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§8-1106.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