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7-1505</w:t>
        <w:t xml:space="preserve">.  </w:t>
      </w:r>
      <w:r>
        <w:rPr>
          <w:b/>
        </w:rPr>
        <w:t xml:space="preserve">Indorser not guarantor for other parties</w:t>
      </w:r>
    </w:p>
    <w:p>
      <w:pPr>
        <w:jc w:val="both"/>
        <w:spacing w:before="100" w:after="100"/>
        <w:ind w:start="360"/>
        <w:ind w:firstLine="360"/>
      </w:pPr>
      <w:r>
        <w:rPr/>
      </w:r>
      <w:r>
        <w:rPr/>
      </w:r>
      <w:r>
        <w:t xml:space="preserve">The indorsement of a tangible document of title issued by a bailee does not make the indorser liable for any default by the bailee or previous indorsers.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§7-1505. Indorser not guarantor for other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§7-1505. Indorser not guarantor for other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§7-1505. INDORSER NOT GUARANTOR FOR OTHER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