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§3-1404. Impostors; fictitious payees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§3-1404. Impostors; fictitious payees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§3-1404. IMPOSTORS; FICTITIOUS PAYEES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