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9411</w:t>
        <w:t xml:space="preserve">.  </w:t>
      </w:r>
      <w:r>
        <w:rPr>
          <w:b/>
        </w:rPr>
        <w:t xml:space="preserve">Notarization and acknowledgment</w:t>
      </w:r>
    </w:p>
    <w:p>
      <w:pPr>
        <w:jc w:val="both"/>
        <w:spacing w:before="100" w:after="100"/>
        <w:ind w:start="360"/>
        <w:ind w:firstLine="360"/>
      </w:pPr>
      <w:r>
        <w:rPr/>
      </w:r>
      <w:r>
        <w:rPr/>
      </w:r>
      <w:r>
        <w:t xml:space="preserve">If a law requires a signature or record to be notarized, acknowledged, verified or made under oath, the requirement is satisfied if the electronic signature of the person authorized to perform those acts, together with all other information required to be included by other applicable law, is attached to or logically associated with the signature or record.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§9411. Notarization and acknowledgment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§9411. Notarization and acknowledgment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§9411. NOTARIZATION AND ACKNOWLEDGMENT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