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§B22 (COR). RR 2001, c. 2, §B58 (AFF). PL 2001, c. 456, §1 (NEW). PL 2005, c. 565, §§1-3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§684.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§684.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