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w:t>
        <w:t xml:space="preserve">.  </w:t>
      </w:r>
      <w:r>
        <w:rPr>
          <w:b/>
        </w:rPr>
        <w:t xml:space="preserve">Conflicts of interest</w:t>
      </w:r>
    </w:p>
    <w:p>
      <w:pPr>
        <w:jc w:val="both"/>
        <w:spacing w:before="100" w:after="100"/>
        <w:ind w:start="360"/>
        <w:ind w:firstLine="360"/>
      </w:pPr>
      <w:r>
        <w:rPr/>
      </w:r>
      <w:r>
        <w:rPr/>
      </w:r>
      <w:r>
        <w:t xml:space="preserve">Notwithstanding </w:t>
      </w:r>
      <w:r>
        <w:t>Title 5, section 18, subsection 1, paragraph B</w:t>
      </w:r>
      <w:r>
        <w:t xml:space="preserve">, each member of the board, and each employee, contractor, agent or other representative of the board is deemed an "executive employee" solely for purposes of </w:t>
      </w:r>
      <w:r>
        <w:t>Title 5, section 18</w:t>
      </w:r>
      <w:r>
        <w:t xml:space="preserve">, and for no other purpose.  </w:t>
      </w:r>
      <w:r>
        <w:t>Title 17, section 3104</w:t>
      </w:r>
      <w:r>
        <w:t xml:space="preserve"> does not apply to any of those representatives.  If a member does not participate in an action or deliberation with respect to a particular project, that member is presumed not to have personally and substantially participated in a decision of the board with respect to that project.  Every interest of a board member in any matter before the board must be disclosed to the board in writing.</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§390.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§390.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