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206-B</w:t>
      </w:r>
    </w:p>
    <w:p>
      <w:pPr>
        <w:jc w:val="center"/>
        <w:ind w:start="360"/>
        <w:spacing w:before="300" w:after="300"/>
      </w:pPr>
      <w:r>
        <w:rPr>
          <w:b/>
        </w:rPr>
        <w:t xml:space="preserve">PERSONAL SPORTS MOBILE MANUFACTURERS, DISTRIBUTORS AND DEALERS</w:t>
      </w:r>
    </w:p>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206-B. PERSONAL SPORTS MOBILE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206-B. PERSONAL SPORTS MOBILE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206-B. PERSONAL SPORTS MOBILE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