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MONOPOLIES AND PROFITEERING</w:t>
      </w:r>
    </w:p>
    <w:p>
      <w:pPr>
        <w:jc w:val="both"/>
        <w:spacing w:before="100" w:after="100"/>
        <w:ind w:start="1080" w:hanging="720"/>
      </w:pPr>
      <w:r>
        <w:rPr>
          <w:b/>
        </w:rPr>
        <w:t>§</w:t>
        <w:t>1101</w:t>
        <w:t xml:space="preserve">.  </w:t>
      </w:r>
      <w:r>
        <w:rPr>
          <w:b/>
        </w:rPr>
        <w:t xml:space="preserve">Contracts in restraint of trade</w:t>
      </w:r>
    </w:p>
    <w:p>
      <w:pPr>
        <w:jc w:val="both"/>
        <w:spacing w:before="100" w:after="100"/>
        <w:ind w:start="360"/>
        <w:ind w:firstLine="360"/>
      </w:pPr>
      <w:r>
        <w:rPr/>
      </w:r>
      <w:r>
        <w:rPr/>
      </w:r>
      <w:r>
        <w:t xml:space="preserve">Every contract, combination in the form of trusts or otherwise, or conspiracy, in restraint of trade or commerce in this State is declared to be illegal. Whoever makes any such contract or engages in any such combination or conspiracy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§1 (AMD). PL 1977, c. 175, §1 (AMD). PL 2003, c. 46, §1 (AMD). </w:t>
      </w:r>
    </w:p>
    <w:p>
      <w:pPr>
        <w:jc w:val="both"/>
        <w:spacing w:before="100" w:after="100"/>
        <w:ind w:start="1080" w:hanging="720"/>
      </w:pPr>
      <w:r>
        <w:rPr>
          <w:b/>
        </w:rPr>
        <w:t>§</w:t>
        <w:t>1102</w:t>
        <w:t xml:space="preserve">.  </w:t>
      </w:r>
      <w:r>
        <w:rPr>
          <w:b/>
        </w:rPr>
        <w:t xml:space="preserve">Conspiracies to monopolize trade</w:t>
      </w:r>
    </w:p>
    <w:p>
      <w:pPr>
        <w:jc w:val="both"/>
        <w:spacing w:before="100" w:after="100"/>
        <w:ind w:start="360"/>
        <w:ind w:firstLine="360"/>
      </w:pPr>
      <w:r>
        <w:rPr/>
      </w:r>
      <w:r>
        <w:rPr/>
      </w:r>
      <w:r>
        <w:t xml:space="preserve">Whoever shall monopolize or attempt to monopolize or combine or conspire with any other person or persons to monopolize any part of the trade or commerce of this State shall be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1977, c. 175,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§2 (RPR). </w:t>
      </w:r>
    </w:p>
    <w:p>
      <w:pPr>
        <w:jc w:val="both"/>
        <w:spacing w:before="100" w:after="100"/>
        <w:ind w:start="1080" w:hanging="720"/>
      </w:pPr>
      <w:r>
        <w:rPr>
          <w:b/>
        </w:rPr>
        <w:t>§</w:t>
        <w:t>1102-A</w:t>
        <w:t xml:space="preserve">.  </w:t>
      </w:r>
      <w:r>
        <w:rPr>
          <w:b/>
        </w:rPr>
        <w:t xml:space="preserve">Acquisition of assets of person engaged in commerce which tends to create a monopoly</w:t>
      </w:r>
    </w:p>
    <w:p>
      <w:pPr>
        <w:jc w:val="both"/>
        <w:spacing w:before="100" w:after="100"/>
        <w:ind w:start="360"/>
        <w:ind w:firstLine="360"/>
      </w:pPr>
      <w:r>
        <w:rPr/>
      </w:r>
      <w:r>
        <w:rPr/>
      </w:r>
      <w:r>
        <w:t xml:space="preserve">No person engaged in commerce in this State may acquire, directly or indirectly, the whole or any part of the stock or other share capital, or the whole of any part of the assets of another person also engaged in commerce in this State, where in any line of commerce or any activity affecting commerce in any section of this State, the effect of the acquisition or use of that share capital, or the acquisition of those assets, may be substantially to lessen competition or  tend to create a monopoly.</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This section does not apply to persons purchasing these stocks solely for investment and not using the same by voting or otherwise to bring about, or in attempting to bring about, the substantial lessening of competition, nor may anything  contained in this section prevent a corporation from causing the formation of subsidiary corporations for the actual carrying on of their immediate lawful business, or the natural and legitimate branches or extensions thereof, or from owning and holding all or a part of the stock of those subsidiary corporations, if the effect of that formation is not to substantially lessen competition.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This section does not apply to the acquisition of stock, share capital or assets of a public utility when the acquisition has been approved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Any financial institution subject to the provisions of </w:t>
      </w:r>
      <w:r>
        <w:t>Title 9‑B</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340, §1 (NEW). </w:t>
      </w:r>
    </w:p>
    <w:p>
      <w:pPr>
        <w:jc w:val="both"/>
        <w:spacing w:before="100" w:after="100"/>
        <w:ind w:start="1080" w:hanging="720"/>
      </w:pPr>
      <w:r>
        <w:rPr>
          <w:b/>
        </w:rPr>
        <w:t>§</w:t>
        <w:t>1103</w:t>
        <w:t xml:space="preserve">.  </w:t>
      </w:r>
      <w:r>
        <w:rPr>
          <w:b/>
        </w:rPr>
        <w:t xml:space="preserve">Immunity of witnesses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137, §1 (RP). </w:t>
      </w:r>
    </w:p>
    <w:p>
      <w:pPr>
        <w:jc w:val="both"/>
        <w:spacing w:before="100" w:after="100"/>
        <w:ind w:start="1080" w:hanging="720"/>
      </w:pPr>
      <w:r>
        <w:rPr>
          <w:b/>
        </w:rPr>
        <w:t>§</w:t>
        <w:t>1104</w:t>
        <w:t xml:space="preserve">.  </w:t>
      </w:r>
      <w:r>
        <w:rPr>
          <w:b/>
        </w:rPr>
        <w:t xml:space="preserve">Right of action and damages</w:t>
      </w:r>
    </w:p>
    <w:p>
      <w:pPr>
        <w:jc w:val="both"/>
        <w:spacing w:before="100" w:after="0"/>
        <w:ind w:start="360"/>
        <w:ind w:firstLine="360"/>
      </w:pPr>
      <w:r>
        <w:rPr>
          <w:b/>
        </w:rPr>
        <w:t>1</w:t>
        <w:t xml:space="preserve">.  </w:t>
      </w:r>
      <w:r>
        <w:rPr>
          <w:b/>
        </w:rPr>
        <w:t xml:space="preserve">Right of action and damages.</w:t>
        <w:t xml:space="preserve"> </w:t>
      </w:r>
      <w:r>
        <w:t xml:space="preserve"> </w:t>
      </w:r>
      <w:r>
        <w:t xml:space="preserve">Any person, including the State or any political subdivision of the State, injured directly or indirectly in its business or property by any other person or corporation by reason of anything forbidden or declared to be unlawful by </w:t>
      </w:r>
      <w:r>
        <w:t>section 1101</w:t>
      </w:r>
      <w:r>
        <w:t xml:space="preserve">, </w:t>
      </w:r>
      <w:r>
        <w:t>1102</w:t>
      </w:r>
      <w:r>
        <w:t xml:space="preserve"> or </w:t>
      </w:r>
      <w:r>
        <w:t>1102‑A</w:t>
      </w:r>
      <w:r>
        <w:t xml:space="preserve">, may sue for the injury in a civil action. If the court finds for the plaintiff, the plaintiff shall recover 3 times the amount of the damages sustained and cost of suit, including necessary and reasonable investigative costs, reasonable experts' fees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367 (AMD).]</w:t>
      </w:r>
    </w:p>
    <w:p>
      <w:pPr>
        <w:jc w:val="both"/>
        <w:spacing w:before="100" w:after="100"/>
        <w:ind w:start="360"/>
        <w:ind w:firstLine="360"/>
      </w:pPr>
      <w:r>
        <w:rPr>
          <w:b/>
        </w:rPr>
        <w:t>2</w:t>
        <w:t xml:space="preserve">.  </w:t>
      </w:r>
      <w:r>
        <w:rPr>
          <w:b/>
        </w:rPr>
        <w:t xml:space="preserve">Injunction.</w:t>
        <w:t xml:space="preserve"> </w:t>
      </w:r>
      <w:r>
        <w:t xml:space="preserve"> </w:t>
      </w:r>
      <w:r>
        <w:t xml:space="preserve">The Attorney General may institute proceedings in equity to prevent and restrain violations of </w:t>
      </w:r>
      <w:r>
        <w:t>sections 1101</w:t>
      </w:r>
      <w:r>
        <w:t xml:space="preserve">, </w:t>
      </w:r>
      <w:r>
        <w:t>1102</w:t>
      </w:r>
      <w:r>
        <w:t xml:space="preserve"> and </w:t>
      </w:r>
      <w:r>
        <w:t>1102‑A</w:t>
      </w:r>
      <w:r>
        <w:t xml:space="preserve">.</w:t>
      </w:r>
    </w:p>
    <w:p>
      <w:pPr>
        <w:jc w:val="both"/>
        <w:spacing w:before="100" w:after="0"/>
        <w:ind w:start="720"/>
      </w:pPr>
      <w:r>
        <w:rPr/>
        <w:t>A</w:t>
        <w:t xml:space="preserve">.  </w:t>
      </w:r>
      <w:r>
        <w:rPr/>
      </w:r>
      <w:r>
        <w:t xml:space="preserve">These proceedings may be by way of petitions setting forth the case and praying that the violation shall be enjoined or otherwise prohibited.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The action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§10 (RPR).]</w:t>
      </w:r>
    </w:p>
    <w:p>
      <w:pPr>
        <w:jc w:val="both"/>
        <w:spacing w:before="100" w:after="0"/>
        <w:ind w:start="720"/>
      </w:pPr>
      <w:r>
        <w:rPr/>
        <w:t>C</w:t>
        <w:t xml:space="preserve">.  </w:t>
      </w:r>
      <w:r>
        <w:rPr/>
      </w:r>
      <w:r>
        <w:t xml:space="preserve">Pending the petition and before final decree, the court may at any time make such temporary restraining order or prohibition as considered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D</w:t>
        <w:t xml:space="preserve">.  </w:t>
      </w:r>
      <w:r>
        <w:rPr/>
      </w:r>
      <w:r>
        <w:t xml:space="preserve">Any person who violates the terms of an injunction issued under this section must forfeit and pay to the State, to be applied in carrying out this chapter, a civil penalty of not more than $50,000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1991, c. 137,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§10 (AMD).]</w:t>
      </w:r>
    </w:p>
    <w:p>
      <w:pPr>
        <w:jc w:val="both"/>
        <w:spacing w:before="100" w:after="100"/>
        <w:ind w:start="360"/>
        <w:ind w:firstLine="360"/>
      </w:pPr>
      <w:r>
        <w:rPr>
          <w:b/>
        </w:rPr>
        <w:t>3</w:t>
        <w:t xml:space="preserve">.  </w:t>
      </w:r>
      <w:r>
        <w:rPr>
          <w:b/>
        </w:rPr>
        <w:t xml:space="preserve">Civil penalty.</w:t>
        <w:t xml:space="preserve"> </w:t>
      </w:r>
      <w:r>
        <w:t xml:space="preserve"> </w:t>
      </w:r>
      <w:r>
        <w:t xml:space="preserve">Each course of conduct that constitutes a violation of </w:t>
      </w:r>
      <w:r>
        <w:t>section 1101</w:t>
      </w:r>
      <w:r>
        <w:t xml:space="preserve"> or </w:t>
      </w:r>
      <w:r>
        <w:t>1102</w:t>
      </w:r>
      <w:r>
        <w:t xml:space="preserve"> is a civil violation for which a civil penalty of not more than $100,000 for each defendant may be adjudged.</w:t>
      </w:r>
    </w:p>
    <w:p>
      <w:pPr>
        <w:jc w:val="both"/>
        <w:spacing w:before="100" w:after="0"/>
        <w:ind w:start="720"/>
      </w:pPr>
      <w:r>
        <w:rPr/>
        <w:t>A</w:t>
        <w:t xml:space="preserve">.  </w:t>
      </w:r>
      <w:r>
        <w:rPr/>
      </w:r>
      <w:r>
        <w:t xml:space="preserve">In any action initiated by the Attorney General pursuant to this section to prevent and restrain violations of </w:t>
      </w:r>
      <w:r>
        <w:t>sections 1101</w:t>
      </w:r>
      <w:r>
        <w:t xml:space="preserve"> and </w:t>
      </w:r>
      <w:r>
        <w:t>1102</w:t>
      </w:r>
      <w:r>
        <w:t xml:space="preserve">, the Attorney General may include an action to recover civil penalties by each defendant for each course of conduct alleged.</w:t>
      </w:r>
      <w:r>
        <w:t xml:space="preserve">  </w:t>
      </w:r>
      <w:r xmlns:wp="http://schemas.openxmlformats.org/drawingml/2010/wordprocessingDrawing" xmlns:w15="http://schemas.microsoft.com/office/word/2012/wordml">
        <w:rPr>
          <w:rFonts w:ascii="Arial" w:hAnsi="Arial" w:cs="Arial"/>
          <w:sz w:val="22"/>
          <w:szCs w:val="22"/>
        </w:rPr>
        <w:t xml:space="preserve">[PL 1987, c. 60, §1 (NEW).]</w:t>
      </w:r>
    </w:p>
    <w:p>
      <w:pPr>
        <w:jc w:val="both"/>
        <w:spacing w:before="100" w:after="0"/>
        <w:ind w:start="720"/>
      </w:pPr>
      <w:r>
        <w:rPr/>
        <w:t>B</w:t>
        <w:t xml:space="preserve">.  </w:t>
      </w:r>
      <w:r>
        <w:rPr/>
      </w:r>
      <w:r>
        <w:t xml:space="preserve">An action to recover a civil penalty from a defendant under this section bars a criminal prosecution pursuant to </w:t>
      </w:r>
      <w:r>
        <w:t>section 1101</w:t>
      </w:r>
      <w:r>
        <w:t xml:space="preserve"> or </w:t>
      </w:r>
      <w:r>
        <w:t>1102</w:t>
      </w:r>
      <w:r>
        <w:t xml:space="preserve"> against that defendant for the same course of conduct on which the action to recover the civil penalty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w:pPr>
        <w:jc w:val="both"/>
        <w:spacing w:before="100" w:after="0"/>
        <w:ind w:start="720"/>
      </w:pPr>
      <w:r>
        <w:rPr/>
        <w:t>C</w:t>
        <w:t xml:space="preserve">.  </w:t>
      </w:r>
      <w:r>
        <w:rPr/>
      </w:r>
      <w:r>
        <w:t xml:space="preserve">A criminal prosecution against a defendant pursuant to </w:t>
      </w:r>
      <w:r>
        <w:t>section 1101</w:t>
      </w:r>
      <w:r>
        <w:t xml:space="preserve"> or </w:t>
      </w:r>
      <w:r>
        <w:t>1102</w:t>
      </w:r>
      <w:r>
        <w:t xml:space="preserve"> bars any action to recover a civil penalty under this section from that defendant for the same course of conduct on which the criminal prosecution is based.</w:t>
      </w:r>
      <w:r>
        <w:t xml:space="preserve">  </w:t>
      </w:r>
      <w:r xmlns:wp="http://schemas.openxmlformats.org/drawingml/2010/wordprocessingDrawing" xmlns:w15="http://schemas.microsoft.com/office/word/2012/wordml">
        <w:rPr>
          <w:rFonts w:ascii="Arial" w:hAnsi="Arial" w:cs="Arial"/>
          <w:sz w:val="22"/>
          <w:szCs w:val="22"/>
        </w:rPr>
        <w:t xml:space="preserve">[PL 1991, c. 137,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137, §3 (AMD).]</w:t>
      </w:r>
    </w:p>
    <w:p>
      <w:pPr>
        <w:jc w:val="both"/>
        <w:spacing w:before="100" w:after="0"/>
        <w:ind w:start="360"/>
        <w:ind w:firstLine="360"/>
      </w:pPr>
      <w:r>
        <w:rPr>
          <w:b/>
        </w:rPr>
        <w:t>4</w:t>
        <w:t xml:space="preserve">.  </w:t>
      </w:r>
      <w:r>
        <w:rPr>
          <w:b/>
        </w:rPr>
        <w:t xml:space="preserve">Recovery of damages, costs and fees for antitrust violations from any political subdivision official or employee of a political subdivision acting in an official capacity.</w:t>
        <w:t xml:space="preserve"> </w:t>
      </w:r>
      <w:r>
        <w:t xml:space="preserve"> </w:t>
      </w:r>
      <w:r>
        <w:t xml:space="preserve">No damages, interest on damages, costs or attorneys fees may be recovered under this chapter from any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w:pPr>
        <w:jc w:val="both"/>
        <w:spacing w:before="100" w:after="0"/>
        <w:ind w:start="360"/>
        <w:ind w:firstLine="360"/>
      </w:pPr>
      <w:r>
        <w:rPr>
          <w:b/>
        </w:rPr>
        <w:t>5</w:t>
        <w:t xml:space="preserve">.  </w:t>
      </w:r>
      <w:r>
        <w:rPr>
          <w:b/>
        </w:rPr>
        <w:t xml:space="preserve">Recovery of damages, costs and fees for antitrust violations on claim against person based on official action directed by political subdivision, or official or employee of a political subdivision acting in an official capacity.</w:t>
        <w:t xml:space="preserve"> </w:t>
      </w:r>
      <w:r>
        <w:t xml:space="preserve"> </w:t>
      </w:r>
      <w:r>
        <w:t xml:space="preserve">No damages, interest on damages, costs or attorneys fees may be recovered under this chapter in any claim against a person based on any official action directed by a political subdivision, as defined in </w:t>
      </w:r>
      <w:r>
        <w:t>Title 14, section 8102, subsection 3</w:t>
      </w:r>
      <w:r>
        <w:t xml:space="preserve">, or official or employee of a political subdivision acting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§3 (RPR). PL 1983, c. 340, §2 (AMD). PL 1985, c. 349 (AMD). PL 1987, c. 60, §1 (RPR). PL 1989, c. 367 (AMD). PL 1991, c. 137, §§2,3 (AMD). PL 2011, c. 559, Pt. A, §10 (AMD). </w:t>
      </w:r>
    </w:p>
    <w:p>
      <w:pPr>
        <w:jc w:val="both"/>
        <w:spacing w:before="100" w:after="100"/>
        <w:ind w:start="1080" w:hanging="720"/>
      </w:pPr>
      <w:r>
        <w:rPr>
          <w:b/>
        </w:rPr>
        <w:t>§</w:t>
        <w:t>1105</w:t>
        <w:t xml:space="preserve">.  </w:t>
      </w:r>
      <w:r>
        <w:rPr>
          <w:b/>
        </w:rPr>
        <w:t xml:space="preserve">Profiteering in necessities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"Abnormal market disruption" means a significant disruption to the production, distribution, supply, sale or availability of a commodity or commodities that:</w:t>
      </w:r>
    </w:p>
    <w:p>
      <w:pPr>
        <w:jc w:val="both"/>
        <w:spacing w:before="100" w:after="0"/>
        <w:ind w:start="1080"/>
      </w:pPr>
      <w:r>
        <w:rPr/>
        <w:t>(</w:t>
        <w:t>1</w:t>
        <w:t xml:space="preserve">)  </w:t>
      </w:r>
      <w:r>
        <w:rPr/>
      </w:r>
      <w:r>
        <w:t xml:space="preserve">Is caused by an event such as a natural or man-made emergency or disaster, whether local or remote; and</w:t>
      </w:r>
    </w:p>
    <w:p>
      <w:pPr>
        <w:jc w:val="both"/>
        <w:spacing w:before="100" w:after="0"/>
        <w:ind w:start="1080"/>
      </w:pPr>
      <w:r>
        <w:rPr/>
        <w:t>(</w:t>
        <w:t>2</w:t>
        <w:t xml:space="preserve">)  </w:t>
      </w:r>
      <w:r>
        <w:rPr/>
      </w:r>
      <w:r>
        <w:t xml:space="preserve">Causes ordinary competitive market forces to cease to function normally.</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B</w:t>
        <w:t xml:space="preserve">.  </w:t>
      </w:r>
      <w:r>
        <w:rPr/>
      </w:r>
      <w:r>
        <w:t xml:space="preserve">"Cost" means the expense associated with the acquisition, production, distribution or sale of necessities and may include, among other things, replacement costs, taxes and transportation costs.</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"Necessities" includes food for human or animal consumption; seeds; potable water; pharmaceutical products, including prescription medications; wearing apparel; shoes; building materials; gas and electricity for light, heat and power; ice; fuel of all kinds; and fertilizer and fertilizer ingredients; together with tools, utensils, implements, machinery and equipment required for the actual production or manufacture of the same.  "Necessities" includes any other vital or necessary goods or service except those:</w:t>
      </w:r>
    </w:p>
    <w:p>
      <w:pPr>
        <w:jc w:val="both"/>
        <w:spacing w:before="100" w:after="0"/>
        <w:ind w:start="1080"/>
      </w:pPr>
      <w:r>
        <w:rPr/>
        <w:t>(</w:t>
        <w:t>1</w:t>
        <w:t xml:space="preserve">)  </w:t>
      </w:r>
      <w:r>
        <w:rPr/>
      </w:r>
      <w:r>
        <w:t xml:space="preserve">Subject to continuous maximum price regulation under the provisions of any state or federal law;</w:t>
      </w:r>
    </w:p>
    <w:p>
      <w:pPr>
        <w:jc w:val="both"/>
        <w:spacing w:before="100" w:after="0"/>
        <w:ind w:start="1080"/>
      </w:pPr>
      <w:r>
        <w:rPr/>
        <w:t>(</w:t>
        <w:t>2</w:t>
        <w:t xml:space="preserve">)  </w:t>
      </w:r>
      <w:r>
        <w:rPr/>
      </w:r>
      <w:r>
        <w:t xml:space="preserve">As to which the State's authority is preempted; or</w:t>
      </w:r>
    </w:p>
    <w:p>
      <w:pPr>
        <w:jc w:val="both"/>
        <w:spacing w:before="100" w:after="0"/>
        <w:ind w:start="1080"/>
      </w:pPr>
      <w:r>
        <w:rPr/>
        <w:t>(</w:t>
        <w:t>3</w:t>
        <w:t xml:space="preserve">)  </w:t>
      </w:r>
      <w:r>
        <w:rPr/>
      </w:r>
      <w:r>
        <w:t xml:space="preserve">Furnished or provided by:</w:t>
      </w:r>
    </w:p>
    <w:p>
      <w:pPr>
        <w:jc w:val="both"/>
        <w:spacing w:before="100" w:after="0"/>
        <w:ind w:start="1440"/>
      </w:pPr>
      <w:r>
        <w:rPr/>
        <w:t>(</w:t>
        <w:t>a</w:t>
        <w:t xml:space="preserve">)  </w:t>
      </w:r>
      <w:r>
        <w:rPr/>
      </w:r>
      <w:r>
        <w:t xml:space="preserve">Insurers; or</w:t>
      </w:r>
    </w:p>
    <w:p>
      <w:pPr>
        <w:jc w:val="both"/>
        <w:spacing w:before="100" w:after="0"/>
        <w:ind w:start="1440"/>
      </w:pPr>
      <w:r>
        <w:rPr/>
        <w:t>(</w:t>
        <w:t>b</w:t>
        <w:t xml:space="preserve">)  </w:t>
      </w:r>
      <w:r>
        <w:rPr/>
      </w:r>
      <w:r>
        <w:t xml:space="preserve">Nonprofit hospitals, medical service organizations or health maintenance organizations authorized to transact business within the State pursuant to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§22 (AMD).]</w:t>
      </w:r>
    </w:p>
    <w:p>
      <w:pPr>
        <w:jc w:val="both"/>
        <w:spacing w:before="100" w:after="0"/>
        <w:ind w:start="720"/>
      </w:pPr>
      <w:r>
        <w:rPr/>
        <w:t>D</w:t>
        <w:t xml:space="preserve">.  </w:t>
      </w:r>
      <w:r>
        <w:rPr/>
      </w:r>
      <w:r>
        <w:t xml:space="preserve">"Unconscionable price" means a price that is actionable under this section.  There is a rebuttable presumption that a price is unconscionable when it exceeds by more than 15% the sum of:</w:t>
      </w:r>
    </w:p>
    <w:p>
      <w:pPr>
        <w:jc w:val="both"/>
        <w:spacing w:before="100" w:after="0"/>
        <w:ind w:start="1080"/>
      </w:pPr>
      <w:r>
        <w:rPr/>
        <w:t>(</w:t>
        <w:t>1</w:t>
        <w:t xml:space="preserve">)  </w:t>
      </w:r>
      <w:r>
        <w:rPr/>
      </w:r>
      <w:r>
        <w:t xml:space="preserve">The price at which similar goods or services were offered for sale or sold by that person immediately prior to the beginning date of the abnormal market disruption.  If that person did not offer such goods or services immediately prior to the abnormal market disruption, then the price is the price at which similar goods or services were offered for sale or sold by another person similarly situated prior to the abnormal market disruption; and</w:t>
      </w:r>
    </w:p>
    <w:p>
      <w:pPr>
        <w:jc w:val="both"/>
        <w:spacing w:before="100" w:after="0"/>
        <w:ind w:start="1080"/>
      </w:pPr>
      <w:r>
        <w:rPr/>
        <w:t>(</w:t>
        <w:t>2</w:t>
        <w:t xml:space="preserve">)  </w:t>
      </w:r>
      <w:r>
        <w:rPr/>
      </w:r>
      <w:r>
        <w:t xml:space="preserve">The increased cost calculated according to the method used by that person prior to the abnormal market disruption.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§22 (AMD).]</w:t>
      </w:r>
    </w:p>
    <w:p>
      <w:pPr>
        <w:jc w:val="both"/>
        <w:spacing w:before="100" w:after="100"/>
        <w:ind w:start="360"/>
        <w:ind w:firstLine="360"/>
      </w:pPr>
      <w:r>
        <w:rPr>
          <w:b/>
        </w:rPr>
        <w:t>2</w:t>
        <w:t xml:space="preserve">.  </w:t>
      </w:r>
      <w:r>
        <w:rPr>
          <w:b/>
        </w:rPr>
        <w:t xml:space="preserve">Declaration.</w:t>
        <w:t xml:space="preserve"> </w:t>
      </w:r>
      <w:r>
        <w:t xml:space="preserve"> </w:t>
      </w:r>
      <w:r>
        <w:t xml:space="preserve">Whenever it appears upon due inquiry and consultation with the Attorney General that an abnormal market disruption exists or that there is a substantial likelihood that an abnormal market disruption is imminent, the Governor may, in the Governor's sole discretion and after considering whether the declaration of an abnormal market disruption itself will disrupt supplies for affected necessities, declare an abnormal market disruption.</w:t>
      </w:r>
    </w:p>
    <w:p>
      <w:pPr>
        <w:jc w:val="both"/>
        <w:spacing w:before="100" w:after="0"/>
        <w:ind w:start="720"/>
      </w:pPr>
      <w:r>
        <w:rPr/>
        <w:t>A</w:t>
        <w:t xml:space="preserve">.  </w:t>
      </w:r>
      <w:r>
        <w:rPr/>
      </w:r>
      <w:r>
        <w:t xml:space="preserve">A declaration made under this subsection must specify:</w:t>
      </w:r>
    </w:p>
    <w:p>
      <w:pPr>
        <w:jc w:val="both"/>
        <w:spacing w:before="100" w:after="0"/>
        <w:ind w:start="1080"/>
      </w:pPr>
      <w:r>
        <w:rPr/>
        <w:t>(</w:t>
        <w:t>1</w:t>
        <w:t xml:space="preserve">)  </w:t>
      </w:r>
      <w:r>
        <w:rPr/>
      </w:r>
      <w:r>
        <w:t xml:space="preserve">The beginning date of the abnormal market disruption;</w:t>
      </w:r>
    </w:p>
    <w:p>
      <w:pPr>
        <w:jc w:val="both"/>
        <w:spacing w:before="100" w:after="0"/>
        <w:ind w:start="1080"/>
      </w:pPr>
      <w:r>
        <w:rPr/>
        <w:t>(</w:t>
        <w:t>2</w:t>
        <w:t xml:space="preserve">)  </w:t>
      </w:r>
      <w:r>
        <w:rPr/>
      </w:r>
      <w:r>
        <w:t xml:space="preserve">The particular necessity, necessities or categories of necessities that are affected by the abnormal market disruption and made subject to the provisions of </w:t>
      </w:r>
      <w:r>
        <w:t>subsections 3</w:t>
      </w:r>
      <w:r>
        <w:t xml:space="preserve"> and </w:t>
      </w:r>
      <w:r>
        <w:t>4</w:t>
      </w:r>
      <w:r>
        <w:t xml:space="preserve">; and</w:t>
      </w:r>
    </w:p>
    <w:p>
      <w:pPr>
        <w:jc w:val="both"/>
        <w:spacing w:before="100" w:after="0"/>
        <w:ind w:start="1080"/>
      </w:pPr>
      <w:r>
        <w:rPr/>
        <w:t>(</w:t>
        <w:t>3</w:t>
        <w:t xml:space="preserve">)  </w:t>
      </w:r>
      <w:r>
        <w:rPr/>
      </w:r>
      <w:r>
        <w:t xml:space="preserve">The levels of trade or commerce that are affected by the abnormal market disruption and made subject to the provisions of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B</w:t>
        <w:t xml:space="preserve">.  </w:t>
      </w:r>
      <w:r>
        <w:rPr/>
      </w:r>
      <w:r>
        <w:t xml:space="preserve">A declaration of abnormal market disruption under this subsection expires when the Governor declares it expired or 60 days from the date of its issuance, whichever is sooner.  The declaration of abnormal market disruption may be modified by the Governor at any time.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The Governor shall publish decisions under this subsection in a manner reasonably calculated to give affected persons adequate notice.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D</w:t>
        <w:t xml:space="preserve">.  </w:t>
      </w:r>
      <w:r>
        <w:rPr/>
      </w:r>
      <w:r>
        <w:t xml:space="preserve">Any person may petition the Governor regarding the Governor's decisions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3</w:t>
        <w:t xml:space="preserve">.  </w:t>
      </w:r>
      <w:r>
        <w:rPr>
          <w:b/>
        </w:rPr>
        <w:t xml:space="preserve">Profiteering prohibited.</w:t>
        <w:t xml:space="preserve"> </w:t>
      </w:r>
      <w:r>
        <w:t xml:space="preserve"> </w:t>
      </w:r>
      <w:r>
        <w:t xml:space="preserve">After the Governor has declared an abnormal market disruption and before the declaration of the abnormal market disruption expires, a person may not sell or offer for sale necessities at an unconscionable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4</w:t>
        <w:t xml:space="preserve">.  </w:t>
      </w:r>
      <w:r>
        <w:rPr>
          <w:b/>
        </w:rPr>
        <w:t xml:space="preserve">Civil violation.</w:t>
        <w:t xml:space="preserve"> </w:t>
      </w:r>
      <w:r>
        <w:t xml:space="preserve"> </w:t>
      </w:r>
      <w:r>
        <w:t xml:space="preserve">A violation of </w:t>
      </w:r>
      <w:r>
        <w:t>subsection 3</w:t>
      </w:r>
      <w:r>
        <w:t xml:space="preserve"> is a civil violation that constitutes and may be prosecuted as an unfair act or practice in the conduct of trade or commerce pursuant to </w:t>
      </w:r>
      <w:r>
        <w:t>Title 5, section 207</w:t>
      </w:r>
      <w:r>
        <w:t xml:space="preserve">, except that the provisions of </w:t>
      </w:r>
      <w:r>
        <w:t>Title 5, section 213</w:t>
      </w:r>
      <w:r>
        <w:t xml:space="preserve"> do not apply.  The declaration of an abnormal market disruption creates a rebuttable presumption that the disruption occurred and existed from the beginning date in the declaration to the date of its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§A91 (AMD). PL 2005, c. 580, §1 (RPR). PL 2019, c. 126, §1 (AMD). PL 2021, c. 175, §1 (AMD). PL 2023, c. 405, Pt. A, §22 (AMD). </w:t>
      </w:r>
    </w:p>
    <w:p>
      <w:pPr>
        <w:jc w:val="both"/>
        <w:spacing w:before="100" w:after="100"/>
        <w:ind w:start="1080" w:hanging="720"/>
      </w:pPr>
      <w:r>
        <w:rPr>
          <w:b/>
        </w:rPr>
        <w:t>§</w:t>
        <w:t>1106</w:t>
        <w:t xml:space="preserve">.  </w:t>
      </w:r>
      <w:r>
        <w:rPr>
          <w:b/>
        </w:rPr>
        <w:t xml:space="preserve">Profiteering in rents</w:t>
      </w:r>
    </w:p>
    <w:p>
      <w:pPr>
        <w:jc w:val="both"/>
        <w:spacing w:before="100" w:after="100"/>
        <w:ind w:start="360"/>
        <w:ind w:firstLine="360"/>
      </w:pPr>
      <w:r>
        <w:rPr/>
      </w:r>
      <w:r>
        <w:rPr/>
      </w:r>
      <w:r>
        <w:t xml:space="preserve">Whoever demands or collects an unreasonable or unjust rent or charge, taking into due consideration the actual market value of the property at the time, with a fair return thereon, or imposes an unreasonable or unjust term or condition, for the occupancy of a mobile home park lot or of any building or any part thereof, rented or hired for dwelling purposes, shall be punished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1983, c.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148 (AMD). </w:t>
      </w:r>
    </w:p>
    <w:p>
      <w:pPr>
        <w:jc w:val="both"/>
        <w:spacing w:before="100" w:after="100"/>
        <w:ind w:start="1080" w:hanging="720"/>
      </w:pPr>
      <w:r>
        <w:rPr>
          <w:b/>
        </w:rPr>
        <w:t>§</w:t>
        <w:t>1107</w:t>
        <w:t xml:space="preserve">.  </w:t>
      </w:r>
      <w:r>
        <w:rPr>
          <w:b/>
        </w:rPr>
        <w:t xml:space="preserve">Investigation by Attorney General</w:t>
      </w:r>
    </w:p>
    <w:p>
      <w:pPr>
        <w:jc w:val="both"/>
        <w:spacing w:before="100" w:after="100"/>
        <w:ind w:start="360"/>
        <w:ind w:firstLine="360"/>
      </w:pPr>
      <w:r>
        <w:rPr/>
      </w:r>
      <w:r>
        <w:rPr/>
      </w:r>
      <w:r>
        <w:t xml:space="preserve">The Attorney General upon the Attorney General's own initiative or upon petition of 50 or more citizens of this State, shall investigate all seeming violations of </w:t>
      </w:r>
      <w:r>
        <w:t>sections 1102‑A</w:t>
      </w:r>
      <w:r>
        <w:t xml:space="preserve"> and </w:t>
      </w:r>
      <w:r>
        <w:t>1105</w:t>
      </w:r>
      <w:r>
        <w:t xml:space="preserve"> to </w:t>
      </w:r>
      <w:r>
        <w:t>1107</w:t>
      </w:r>
      <w:r>
        <w:t xml:space="preserve">, all contracts, combinations or conspiracies in restraint of trade or commerce, and all monopolies, and may require, by summons, the attendance and testimony of witnesses and the production of books and papers before the Attorney General relating to any such matter under investigation.  The summons must be served in the same manner as summons for witnesses in criminal cases, and all provisions of law relating thereto apply to summonses issued under this section so far as they are applicable.  All investigations or hearings thereunder or connected therewith to which witnesses are summoned or called upon to testify or to produce books, records or correspondence are confidential and must be held in the county where the act to be investigated is alleged to have been committed, or if the investigation is on petition it must be held in the county in which the petitioners reside.  Books, records or correspondence produced in response to a summons issued under this section may be disclosed by the Attorney General with the consent of the producing party and in court pleadings or other papers filed in court.  The expense of such investigation must be paid from the appropriation provided by </w:t>
      </w:r>
      <w:r>
        <w:t>Title 5, section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182, §1 (AMD).]</w:t>
      </w:r>
    </w:p>
    <w:p>
      <w:pPr>
        <w:jc w:val="both"/>
        <w:spacing w:before="100" w:after="100"/>
        <w:ind w:start="360"/>
        <w:ind w:firstLine="360"/>
      </w:pPr>
      <w:r>
        <w:rPr/>
      </w:r>
      <w:r>
        <w:rPr/>
      </w:r>
      <w:r>
        <w:t xml:space="preserve">If, upon investigation, it appears to the Attorney General that the laws of this State, including sections 1102-A or 1105 to 1107, have been violated in any respect, the Attorney General shall prosecute the guilty parties and present all available information bearing upon such apparent violation to the proper prosecuting officer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w:pPr>
        <w:jc w:val="both"/>
        <w:spacing w:before="100" w:after="100"/>
        <w:ind w:start="360"/>
        <w:ind w:firstLine="360"/>
      </w:pPr>
      <w:r>
        <w:rPr/>
      </w:r>
      <w:r>
        <w:rPr/>
      </w:r>
      <w:r>
        <w:t xml:space="preserve">Any Justice of the Superior Court may by order, upon application of the Attorney General, compel the attendance of witnesses, the production of books and papers, including correspondence, and the giving of testimony, before the Attorney General in the same manner and to the same extent as before the Superior Court. Any failure to obey such order may be punishable by such court as a contempt.</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§4 (AMD). PL 1991, c. 137, §4 (AMD). PL 2021, c. 182, §1 (AMD). </w:t>
      </w:r>
    </w:p>
    <w:p>
      <w:pPr>
        <w:jc w:val="both"/>
        <w:spacing w:before="100" w:after="100"/>
        <w:ind w:start="1080" w:hanging="720"/>
      </w:pPr>
      <w:r>
        <w:rPr>
          <w:b/>
        </w:rPr>
        <w:t>§</w:t>
        <w:t>1108</w:t>
        <w:t xml:space="preserve">.  </w:t>
      </w:r>
      <w:r>
        <w:rPr>
          <w:b/>
        </w:rPr>
        <w:t xml:space="preserve">Final judgment or decree as prima facie evidence</w:t>
      </w:r>
    </w:p>
    <w:p>
      <w:pPr>
        <w:jc w:val="both"/>
        <w:spacing w:before="100" w:after="100"/>
        <w:ind w:start="360"/>
        <w:ind w:firstLine="360"/>
      </w:pPr>
      <w:r>
        <w:rPr/>
      </w:r>
      <w:r>
        <w:rPr/>
      </w:r>
      <w:r>
        <w:t xml:space="preserve">A final judgment or decree hereafter rendered in any civil or criminal proceeding brought by or on behalf of the State under the antitrust laws to the effect that a defendant has violated these laws shall be prima facie evidence against the defendant in any action or proceeding brought by any party against that defendant under such laws as to matters respecting which that judgment or decree would be an estoppel as between the parties thereto; provided that this section shall not apply to consent judgments or decrees entered before any testimony has been taken.  Nothing contained in this section may be construed to impose any limitation on the application of collateral estoppel.</w:t>
      </w:r>
      <w:r>
        <w:t xml:space="preserve">  </w:t>
      </w:r>
      <w:r xmlns:wp="http://schemas.openxmlformats.org/drawingml/2010/wordprocessingDrawing" xmlns:w15="http://schemas.microsoft.com/office/word/2012/wordml">
        <w:rPr>
          <w:rFonts w:ascii="Arial" w:hAnsi="Arial" w:cs="Arial"/>
          <w:sz w:val="22"/>
          <w:szCs w:val="22"/>
        </w:rPr>
        <w:t xml:space="preserve">[PL 1983,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340, §3 (NEW). </w:t>
      </w:r>
    </w:p>
    <w:p>
      <w:pPr>
        <w:jc w:val="both"/>
        <w:spacing w:before="100" w:after="100"/>
        <w:ind w:start="1080" w:hanging="720"/>
      </w:pPr>
      <w:r>
        <w:rPr>
          <w:b/>
        </w:rPr>
        <w:t>§</w:t>
        <w:t>1109</w:t>
        <w:t xml:space="preserve">.  </w:t>
      </w:r>
      <w:r>
        <w:rPr>
          <w:b/>
        </w:rPr>
        <w:t xml:space="preserve">Acquisition of gasoline and heating oil assets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"Gasoline sales" means the retail sale of internal combustion fuel for motor vehicles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§13 (AMD); PL 1995, c. 65, Pt. A, §153 (AFF); PL 1995, c. 65, Pt. C, §15 (AFF).]</w:t>
      </w:r>
    </w:p>
    <w:p>
      <w:pPr>
        <w:jc w:val="both"/>
        <w:spacing w:before="100" w:after="0"/>
        <w:ind w:start="720"/>
      </w:pPr>
      <w:r>
        <w:rPr/>
        <w:t>B</w:t>
        <w:t xml:space="preserve">.  </w:t>
      </w:r>
      <w:r>
        <w:rPr/>
      </w:r>
      <w:r>
        <w:t xml:space="preserve">"Heating oil sales" means the retail sale of #2 fuel oil used for heating residential, industrial or commercial space or water.</w:t>
      </w:r>
      <w:r>
        <w:t xml:space="preserve">  </w:t>
      </w:r>
      <w:r xmlns:wp="http://schemas.openxmlformats.org/drawingml/2010/wordprocessingDrawing" xmlns:w15="http://schemas.microsoft.com/office/word/2012/wordml">
        <w:rPr>
          <w:rFonts w:ascii="Arial" w:hAnsi="Arial" w:cs="Arial"/>
          <w:sz w:val="22"/>
          <w:szCs w:val="22"/>
        </w:rPr>
        <w:t xml:space="preserve">[PL 1991, c. 488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 (AMD); PL 1995, c. 65, Pt. A, §153 (AFF); PL 1995, c. 65, Pt. C, §15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acquire, directly or indirectly, from a business engaged in gasoline sales or heating oil sales in this State, without prior notice as required under </w:t>
      </w:r>
      <w:r>
        <w:t>subsection 3</w:t>
      </w:r>
      <w:r>
        <w:t xml:space="preserve">:</w:t>
      </w:r>
    </w:p>
    <w:p>
      <w:pPr>
        <w:jc w:val="both"/>
        <w:spacing w:before="100" w:after="0"/>
        <w:ind w:start="720"/>
      </w:pPr>
      <w:r>
        <w:rPr/>
        <w:t>A</w:t>
        <w:t xml:space="preserve">.  </w:t>
      </w:r>
      <w:r>
        <w:rPr/>
      </w:r>
      <w:r>
        <w:t xml:space="preserve">Controlling stock; or</w:t>
      </w:r>
      <w:r>
        <w:t xml:space="preserve">  </w:t>
      </w:r>
      <w:r xmlns:wp="http://schemas.openxmlformats.org/drawingml/2010/wordprocessingDrawing" xmlns:w15="http://schemas.microsoft.com/office/word/2012/wordml">
        <w:rPr>
          <w:rFonts w:ascii="Arial" w:hAnsi="Arial" w:cs="Arial"/>
          <w:sz w:val="22"/>
          <w:szCs w:val="22"/>
        </w:rPr>
        <w:t xml:space="preserve">[PL 1989, c. 750 (NEW).]</w:t>
      </w:r>
    </w:p>
    <w:p>
      <w:pPr>
        <w:jc w:val="both"/>
        <w:spacing w:before="100" w:after="0"/>
        <w:ind w:start="720"/>
      </w:pPr>
      <w:r>
        <w:rPr/>
        <w:t>B</w:t>
        <w:t xml:space="preserve">.  </w:t>
      </w:r>
      <w:r>
        <w:rPr/>
      </w:r>
      <w:r>
        <w:t xml:space="preserve">Substantial assets that include those used in gasoline sales or heating oil sales.</w:t>
      </w:r>
      <w:r>
        <w:t xml:space="preserve">  </w:t>
      </w:r>
      <w:r xmlns:wp="http://schemas.openxmlformats.org/drawingml/2010/wordprocessingDrawing" xmlns:w15="http://schemas.microsoft.com/office/word/2012/wordml">
        <w:rPr>
          <w:rFonts w:ascii="Arial" w:hAnsi="Arial" w:cs="Arial"/>
          <w:sz w:val="22"/>
          <w:szCs w:val="22"/>
        </w:rPr>
        <w:t xml:space="preserve">[PL 1991, c. 488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488 (AMD).]</w:t>
      </w:r>
    </w:p>
    <w:p>
      <w:pPr>
        <w:jc w:val="both"/>
        <w:spacing w:before="100" w:after="0"/>
        <w:ind w:start="360"/>
        <w:ind w:firstLine="360"/>
      </w:pPr>
      <w:r>
        <w:rPr>
          <w:b/>
        </w:rPr>
        <w:t>3</w:t>
        <w:t xml:space="preserve">.  </w:t>
      </w:r>
      <w:r>
        <w:rPr>
          <w:b/>
        </w:rPr>
        <w:t xml:space="preserve">Report.</w:t>
        <w:t xml:space="preserve"> </w:t>
      </w:r>
      <w:r>
        <w:t xml:space="preserve"> </w:t>
      </w:r>
      <w:r>
        <w:t xml:space="preserve">The person acquiring stock or assets under </w:t>
      </w:r>
      <w:r>
        <w:t>subsection 2</w:t>
      </w:r>
      <w:r>
        <w:t xml:space="preserve"> shall provide notice of this acquisition to the Department of the Attorney General at least 30 days prior to the date of acquisition.  That period may be shortened with the consent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488 (AMD).]</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received by the Department of the Attorney General as a result of this reporting requirement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§2 (AMD); PL 1993, c. 719, §12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civil violation for which a civil penalty not to exceed $10,000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750 (NEW). PL 1991, c. 488 (AMD). PL 1993, c. 719, §2 (AMD). PL 1993, c. 719, §12 (AFF). PL 1995, c. 65, §A13 (AMD). PL 1995, c. 65, §§A153,C15 (AFF). </w:t>
      </w:r>
    </w:p>
    <w:p>
      <w:pPr>
        <w:jc w:val="both"/>
        <w:spacing w:before="100" w:after="100"/>
        <w:ind w:start="1080" w:hanging="720"/>
      </w:pPr>
      <w:r>
        <w:rPr>
          <w:b/>
        </w:rPr>
        <w:t>§</w:t>
        <w:t>1110</w:t>
        <w:t xml:space="preserve">.  </w:t>
      </w:r>
      <w:r>
        <w:rPr>
          <w:b/>
        </w:rPr>
        <w:t xml:space="preserve">Requirements for price protection and prepaid contracts</w:t>
      </w:r>
    </w:p>
    <w:p>
      <w:pPr>
        <w:jc w:val="both"/>
        <w:spacing w:before="100" w:after="0"/>
        <w:ind w:start="360"/>
        <w:ind w:firstLine="360"/>
      </w:pPr>
      <w:r>
        <w:rPr>
          <w:b/>
        </w:rPr>
        <w:t>1</w:t>
        <w:t xml:space="preserve">.  </w:t>
      </w:r>
      <w:r>
        <w:rPr>
          <w:b/>
        </w:rPr>
        <w:t xml:space="preserve">Contract and solicitation requirements.</w:t>
        <w:t xml:space="preserve"> </w:t>
      </w:r>
      <w:r>
        <w:t xml:space="preserve"> </w:t>
      </w:r>
      <w:r>
        <w:t xml:space="preserve">A contract for the retail sale of home heating oil, kerosene or liquefied petroleum gas that offers a guaranteed price plan, including a prepaid contract and any other similar term, must be in writing and the terms and conditions of the price plan must be disclosed.  The disclosure of terms and conditions must be in plain language, must immediately follow the language concerning the price or service that could be affected and must be printed in no less than 12-point boldface type of uniform font.  A solicitation for the retail sale of home heating oil, kerosene or liquefied petroleum gas that offers a guaranteed price plan that could become a contract upon a response from a consumer, including a prepaid contract and any other similar term, must be in writing and the terms and conditions of that offer must be disclosed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1-A</w:t>
        <w:t xml:space="preserve">.  </w:t>
      </w:r>
      <w:r>
        <w:rPr>
          <w:b/>
        </w:rPr>
        <w:t xml:space="preserve">Registration.</w:t>
        <w:t xml:space="preserve"> </w:t>
      </w:r>
      <w:r>
        <w:t xml:space="preserve"> </w:t>
      </w:r>
      <w:r>
        <w:t xml:space="preserve">A home heating oil, kerosene or liquefied petroleum gas dealer who offers prepaid contracts under this section shall register the dealer’s intent to offer such contracts with the Commissioner of Professional and Financial Regulation by June 30th of each year.  Registration must be on a form provided by the commissioner, accompanied by a fee of $100.  Fees received under this subsection must be used by the commissioner to administer this section.  Any balance of these funds does not lapse but must be carried forward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0"/>
        <w:ind w:start="360"/>
        <w:ind w:firstLine="360"/>
      </w:pPr>
      <w:r>
        <w:rPr>
          <w:b/>
        </w:rPr>
        <w:t>1-B</w:t>
        <w:t xml:space="preserve">.  </w:t>
      </w:r>
      <w:r>
        <w:rPr>
          <w:b/>
        </w:rPr>
        <w:t xml:space="preserve">Report.</w:t>
        <w:t xml:space="preserve"> </w:t>
      </w:r>
      <w:r>
        <w:t xml:space="preserve"> </w:t>
      </w:r>
      <w:r>
        <w:t xml:space="preserve">A home heating oil, kerosene or liquefied petroleum gas dealer who offers prepaid contracts under this section shall file an annual report with the Commissioner of Professional and Financial Regulation by October 31st of each year demonstrating how the dealer has satisfied the requirements of this section, including how the prepaid contracts are secured.  The report must be made on a form provided by the commissioner.  The form must conspicuously bear the warning that making a false statement on the form is a Class D crime under </w:t>
      </w:r>
      <w:r>
        <w:t>Title 17‑A, section 453</w:t>
      </w:r>
      <w:r>
        <w:t xml:space="preserve">.  The report must be signed by the dealer.  If the dealer is a corporation, the report must be signed by either the president or an officer of the corporation and must include a list of all of the members of the board of directors of the corporation.  The commissioner may not charge a fee for the form or for filing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100"/>
        <w:ind w:start="360"/>
        <w:ind w:firstLine="360"/>
      </w:pPr>
      <w:r>
        <w:rPr>
          <w:b/>
        </w:rPr>
        <w:t>2</w:t>
        <w:t xml:space="preserve">.  </w:t>
      </w:r>
      <w:r>
        <w:rPr>
          <w:b/>
        </w:rPr>
        <w:t xml:space="preserve">Security for prepaid contracts required; options.</w:t>
        <w:t xml:space="preserve"> </w:t>
      </w:r>
      <w:r>
        <w:t xml:space="preserve"> </w:t>
      </w:r>
      <w:r>
        <w:t xml:space="preserve">A home heating oil, kerosene or liquefied petroleum gas dealer may not enter into a prepaid contract to provide home heating oil, kerosene or liquefied petroleum gas to a consumer unless that dealer has obtained and maintains in accordance with </w:t>
      </w:r>
      <w:r>
        <w:t>subsection 3</w:t>
      </w:r>
      <w:r>
        <w:t xml:space="preserve"> any one of the following:</w:t>
      </w:r>
    </w:p>
    <w:p>
      <w:pPr>
        <w:jc w:val="both"/>
        <w:spacing w:before="100" w:after="0"/>
        <w:ind w:start="720"/>
      </w:pPr>
      <w:r>
        <w:rPr/>
        <w:t>A</w:t>
        <w:t xml:space="preserve">.  </w:t>
      </w:r>
      <w:r>
        <w:rPr/>
      </w:r>
      <w:r>
        <w:t xml:space="preserve">Heating oil, kerosene or liquefied petroleum gas contracts or other similar commitments that allow the dealer to purchase, at a fixed price, heating oil, kerosene or liquefied petroleum gas in an amount not less than 75% of the maximum number of gallons that the dealer is committed to deliver pursuant to all prepaid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A surety bond in an amount not less than 50% of the total amount of funds paid to the dealer by consumers pursuant to all prepaid heating oil, kerosene or liquefied petroleum gas contracts entered into by the dealer; or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A letter of credit in an amount not less than 100% of the total amount of funds paid to the dealer by consumers pursuant to all prepaid heating oil, kerosene or liquefied petroleum gas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3</w:t>
        <w:t xml:space="preserve">.  </w:t>
      </w:r>
      <w:r>
        <w:rPr>
          <w:b/>
        </w:rPr>
        <w:t xml:space="preserve">Maintenance of security.</w:t>
        <w:t xml:space="preserve"> </w:t>
      </w:r>
      <w:r>
        <w:t xml:space="preserve"> </w:t>
      </w:r>
      <w:r>
        <w:t xml:space="preserve">A dealer shall maintain the amount of futures contracts or other similar commitments, the amount of the surety bond or the letter of credit  required by </w:t>
      </w:r>
      <w:r>
        <w:t>subsection 2</w:t>
      </w:r>
      <w:r>
        <w:t xml:space="preserve"> for the period of time for which the prepaid home heating oil, kerosene or liquefied petroleum gas contracts are effective, except that the amount of the futures contracts or surety bond may be reduced during such period of time to reflect any amount of home heating oil, kerosene or liquefied petroleum gas already delivered to and paid for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100"/>
        <w:ind w:start="360"/>
        <w:ind w:firstLine="360"/>
      </w:pPr>
      <w:r>
        <w:rPr>
          <w:b/>
        </w:rPr>
        <w:t>4</w:t>
        <w:t xml:space="preserve">.  </w:t>
      </w:r>
      <w:r>
        <w:rPr>
          <w:b/>
        </w:rPr>
        <w:t xml:space="preserve">Disclosure; additional contract requirements.</w:t>
        <w:t xml:space="preserve"> </w:t>
      </w:r>
      <w:r>
        <w:t xml:space="preserve"> </w:t>
      </w:r>
      <w:r>
        <w:t xml:space="preserve">A prepaid home heating oil, kerosene or liquefied petroleum gas contract must indicate:</w:t>
      </w:r>
    </w:p>
    <w:p>
      <w:pPr>
        <w:jc w:val="both"/>
        <w:spacing w:before="100" w:after="0"/>
        <w:ind w:start="720"/>
      </w:pPr>
      <w:r>
        <w:rPr/>
        <w:t>A</w:t>
        <w:t xml:space="preserve">.  </w:t>
      </w:r>
      <w:r>
        <w:rPr/>
      </w:r>
      <w:r>
        <w:t xml:space="preserve">The amount of funds paid by the consumer to the dealer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The maximum number of gallons of home heating oil, kerosene or liquefied petroleum gas committed by the dealer for delivery to the consumer pursuant to the contract; and</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That the performance of the prepaid contract is secured by one of the options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5</w:t>
        <w:t xml:space="preserve">.  </w:t>
      </w:r>
      <w:r>
        <w:rPr>
          <w:b/>
        </w:rPr>
        <w:t xml:space="preserve">Reimbursement provision required.</w:t>
        <w:t xml:space="preserve"> </w:t>
      </w:r>
      <w:r>
        <w:t xml:space="preserve"> </w:t>
      </w:r>
      <w:r>
        <w:t xml:space="preserve">A prepaid home heating oil, kerosene or liquefied petroleum gas contract must provide that the contract price of any undelivered home heating oil, kerosene or liquefied petroleum gas owed to the consumer under the contract at the end date of the contract must be reimbursed to the consumer not later than 30 days after the end date of the contract unless the parties to the contract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Commissioner of Professional and Financial Regulation shall refer to the Attorney General for investigation any dealer that has filed a registration form under </w:t>
      </w:r>
      <w:r>
        <w:t>subsection 1‑A</w:t>
      </w:r>
      <w:r>
        <w:t xml:space="preserve"> and has failed to file a report demonstrating how the contracts are secured pursuant to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7</w:t>
        <w:t xml:space="preserve">.  </w:t>
      </w:r>
      <w:r>
        <w:rPr>
          <w:b/>
        </w:rPr>
        <w:t xml:space="preserve">Prosecution.</w:t>
        <w:t xml:space="preserve"> </w:t>
      </w:r>
      <w:r>
        <w:t xml:space="preserve"> </w:t>
      </w:r>
      <w:r>
        <w:t xml:space="preserve">The Attorney General may prosecute a person making a false statement on the report required by </w:t>
      </w:r>
      <w:r>
        <w:t>subsection 1‑B</w:t>
      </w:r>
      <w:r>
        <w:t xml:space="preserve"> for unsworn falsification under </w:t>
      </w:r>
      <w:r>
        <w:t>Title 17‑A, section 453</w:t>
      </w:r>
      <w:r>
        <w:t xml:space="preserve"> and may prosecute failure to file the report required by </w:t>
      </w:r>
      <w:r>
        <w:t>subsection 1‑B</w:t>
      </w:r>
      <w:r>
        <w:t xml:space="preserve"> as an unfair trade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8</w:t>
        <w:t xml:space="preserve">.  </w:t>
      </w:r>
      <w:r>
        <w:rPr>
          <w:b/>
        </w:rPr>
        <w:t xml:space="preserve">Unfair trade practice.</w:t>
        <w:t xml:space="preserve"> </w:t>
      </w:r>
      <w:r>
        <w:t xml:space="preserve"> </w:t>
      </w:r>
      <w:r>
        <w:t xml:space="preserve">A violation of any of the requirements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of Professional and Financial Regulation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 PL 2011, c. 574,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201. MONOPOLIES AND PROFITEERING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MONOPOLIES AND PROFITEERING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201. MONOPOLIES AND PROFITEERING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