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Definitions and exclusion</w:t>
      </w:r>
    </w:p>
    <w:p>
      <w:pPr>
        <w:jc w:val="both"/>
        <w:spacing w:before="100" w:after="100"/>
        <w:ind w:start="360"/>
        <w:ind w:firstLine="360"/>
      </w:pPr>
      <w:r>
        <w:rPr/>
      </w:r>
      <w:r>
        <w:rPr/>
      </w:r>
      <w:r>
        <w:t xml:space="preserve">Except where the context otherwise requires or as expressly set forth in this chapter, all terms used in this chapter shall have the same definitions as are set forth in the Federal Uniform Relocation Act. The term "State" shall include every agency, department and political subdivision of the State, but shall not include the Department of Transportation. Nothing in this chapter may be construed to alter or amend </w:t>
      </w:r>
      <w:r>
        <w:t>Title 23, chapter 3, subchapter VII</w:t>
      </w:r>
      <w:r>
        <w:t xml:space="preserve">, which does and shall continue to apply exclusively to state or state aid highway projects and other activities of and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1989, c. 40, §§2,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597 (NEW). PL 1989, c. 40,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§903. Definitions and exclusion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Definitions and exclusion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§903. DEFINITIONS AND EXCLUSION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