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Words and phrases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§72. WORDS AND PHRASES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