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 Proclamation of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§711. PROCLAMATION OF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