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§302. CONSTRUCTION AND EFFECT OF REPEALING AND AMENDING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