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Ownership of offshore waters and submerged land</w:t>
      </w:r>
    </w:p>
    <w:p>
      <w:pPr>
        <w:jc w:val="both"/>
        <w:spacing w:before="100" w:after="100"/>
        <w:ind w:start="360"/>
        <w:ind w:firstLine="360"/>
      </w:pPr>
      <w:r>
        <w:rPr/>
      </w:r>
      <w:r>
        <w:rPr/>
      </w:r>
      <w:r>
        <w:t xml:space="preserve">The ownership of the waters and submerged lands enumerated or described in </w:t>
      </w:r>
      <w:r>
        <w:t>section 2</w:t>
      </w:r>
      <w:r>
        <w:t xml:space="preserve"> shall be in this State unless it shall be, with respect to any given parcel or area, in any other person or entity by virtue of a valid and effective instrument of conveyance or by operation of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 Ownership of offshore waters and submerged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Ownership of offshore waters and submerged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§3. OWNERSHIP OF OFFSHORE WATERS AND SUBMERGED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