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State sweetener</w:t>
      </w:r>
    </w:p>
    <w:p>
      <w:pPr>
        <w:jc w:val="both"/>
        <w:spacing w:before="100" w:after="100"/>
        <w:ind w:start="360"/>
        <w:ind w:firstLine="360"/>
      </w:pPr>
      <w:r>
        <w:rPr/>
      </w:r>
      <w:r>
        <w:rPr/>
      </w:r>
      <w:r>
        <w:t xml:space="preserve">Pure Maine maple syrup is the official state sweetener.</w:t>
      </w:r>
      <w:r>
        <w:t xml:space="preserve">  </w:t>
      </w:r>
      <w:r xmlns:wp="http://schemas.openxmlformats.org/drawingml/2010/wordprocessingDrawing" xmlns:w15="http://schemas.microsoft.com/office/word/2012/wordml">
        <w:rPr>
          <w:rFonts w:ascii="Arial" w:hAnsi="Arial" w:cs="Arial"/>
          <w:sz w:val="22"/>
          <w:szCs w:val="22"/>
        </w:rPr>
        <w:t xml:space="preserve">[PL 2015,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§228. State sweetener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State sweetener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§228. STATE SWEETENER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